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096F79"/>
          <w:sz w:val="18"/>
          <w:szCs w:val="18"/>
        </w:rPr>
        <w:t xml:space="preserve">PORTRAIT SOCIAL DE TERRITOIRE</w:t>
      </w:r>
    </w:p>
    <w:p>
      <w:pPr>
        <w:spacing w:after="100"/>
      </w:pPr>
      <w:r>
        <w:rPr>
          <w:rFonts w:ascii="Calibri" w:cs="Calibri" w:eastAsia="Calibri" w:hAnsi="Calibri"/>
          <w:b/>
          <w:bCs/>
          <w:color w:val="0C4349"/>
          <w:sz w:val="56"/>
          <w:szCs w:val="56"/>
        </w:rPr>
        <w:t xml:space="preserve">Marseille</w:t>
      </w:r>
    </w:p>
    <w:p>
      <w:pPr>
        <w:spacing w:after="120"/>
      </w:pPr>
      <w:r>
        <w:rPr>
          <w:rFonts w:ascii="Calibri" w:cs="Calibri" w:eastAsia="Calibri" w:hAnsi="Calibri"/>
          <w:color w:val="637381"/>
        </w:rPr>
        <w:t xml:space="preserve">886 040 habitants (2023) · Métropole d'Aix-Marseille-Provence · Bouches-du-Rhône · Provence-Alpes-Côte d'Azur</w:t>
      </w:r>
    </w:p>
    <w:p>
      <w:pPr>
        <w:spacing w:after="240"/>
      </w:pPr>
      <w:r>
        <w:rPr>
          <w:rFonts w:ascii="Calibri" w:cs="Calibri" w:eastAsia="Calibri" w:hAnsi="Calibri"/>
          <w:color w:val="C8A96E"/>
          <w:sz w:val="18"/>
          <w:szCs w:val="18"/>
        </w:rPr>
        <w:t xml:space="preserve">CMI, Pôle public — document de travail établi le 2 novembre 2026.</w:t>
      </w:r>
    </w:p>
    <w:p>
      <w:pPr>
        <w:pStyle w:val="Heading1"/>
        <w:spacing w:after="140" w:before="280"/>
      </w:pPr>
      <w:r>
        <w:rPr>
          <w:rFonts w:ascii="Calibri" w:cs="Calibri" w:eastAsia="Calibri" w:hAnsi="Calibri"/>
          <w:b/>
          <w:bCs/>
          <w:color w:val="0C4349"/>
          <w:sz w:val="30"/>
          <w:szCs w:val="30"/>
        </w:rPr>
        <w:t xml:space="preserve">Points d'attention</w:t>
      </w:r>
    </w:p>
    <w:p>
      <w:pPr>
        <w:spacing w:after="120"/>
      </w:pPr>
      <w:r>
        <w:rPr>
          <w:rFonts w:ascii="Calibri" w:cs="Calibri" w:eastAsia="Calibri" w:hAnsi="Calibri"/>
          <w:color w:val="637381"/>
          <w:sz w:val="18"/>
          <w:szCs w:val="18"/>
        </w:rPr>
        <w:t xml:space="preserve">Indicateurs pour lesquels l'écart défavorable à la valeur départementale est le plus marqué (calcul automatique, sans IA).</w:t>
      </w:r>
    </w:p>
    <w:p>
      <w:pPr>
        <w:pStyle w:val="ListParagraph"/>
        <w:numPr>
          <w:ilvl w:val="0"/>
          <w:numId w:val="1"/>
        </w:numPr>
        <w:spacing w:after="80"/>
      </w:pPr>
      <w:r>
        <w:rPr>
          <w:rFonts w:ascii="Calibri" w:cs="Calibri" w:eastAsia="Calibri" w:hAnsi="Calibri"/>
          <w:b/>
          <w:bCs/>
          <w:sz w:val="20"/>
          <w:szCs w:val="20"/>
        </w:rPr>
        <w:t xml:space="preserve">Part des résidences principales suroccupées : </w:t>
      </w:r>
      <w:r>
        <w:rPr>
          <w:rFonts w:ascii="Calibri" w:cs="Calibri" w:eastAsia="Calibri" w:hAnsi="Calibri"/>
          <w:sz w:val="20"/>
          <w:szCs w:val="20"/>
        </w:rPr>
        <w:t xml:space="preserve">17,7 %, contre 12,6 % dans le département (+5,1 pts). </w:t>
      </w:r>
      <w:r>
        <w:rPr>
          <w:rFonts w:ascii="Calibri" w:cs="Calibri" w:eastAsia="Calibri" w:hAnsi="Calibri"/>
          <w:color w:val="637381"/>
          <w:sz w:val="17"/>
          <w:szCs w:val="17"/>
        </w:rPr>
        <w:t xml:space="preserve">INSEE, Recensement de la population, 2023.</w:t>
      </w:r>
    </w:p>
    <w:p>
      <w:pPr>
        <w:pStyle w:val="ListParagraph"/>
        <w:numPr>
          <w:ilvl w:val="0"/>
          <w:numId w:val="1"/>
        </w:numPr>
        <w:spacing w:after="80"/>
      </w:pPr>
      <w:r>
        <w:rPr>
          <w:rFonts w:ascii="Calibri" w:cs="Calibri" w:eastAsia="Calibri" w:hAnsi="Calibri"/>
          <w:b/>
          <w:bCs/>
          <w:sz w:val="20"/>
          <w:szCs w:val="20"/>
        </w:rPr>
        <w:t xml:space="preserve">Part de la population couverte par le RSA : </w:t>
      </w:r>
      <w:r>
        <w:rPr>
          <w:rFonts w:ascii="Calibri" w:cs="Calibri" w:eastAsia="Calibri" w:hAnsi="Calibri"/>
          <w:sz w:val="20"/>
          <w:szCs w:val="20"/>
        </w:rPr>
        <w:t xml:space="preserve">11,1 %, contre 7,3 % dans le département (+3,8 pts). </w:t>
      </w:r>
      <w:r>
        <w:rPr>
          <w:rFonts w:ascii="Calibri" w:cs="Calibri" w:eastAsia="Calibri" w:hAnsi="Calibri"/>
          <w:color w:val="637381"/>
          <w:sz w:val="17"/>
          <w:szCs w:val="17"/>
        </w:rPr>
        <w:t xml:space="preserve">Cnaf, data.caf.fr, décembre 2024 (population 2023).</w:t>
      </w:r>
    </w:p>
    <w:p>
      <w:pPr>
        <w:pStyle w:val="ListParagraph"/>
        <w:numPr>
          <w:ilvl w:val="0"/>
          <w:numId w:val="1"/>
        </w:numPr>
        <w:spacing w:after="80"/>
      </w:pPr>
      <w:r>
        <w:rPr>
          <w:rFonts w:ascii="Calibri" w:cs="Calibri" w:eastAsia="Calibri" w:hAnsi="Calibri"/>
          <w:b/>
          <w:bCs/>
          <w:sz w:val="20"/>
          <w:szCs w:val="20"/>
        </w:rPr>
        <w:t xml:space="preserve">Taux de pauvreté (seuil de 60 %) : </w:t>
      </w:r>
      <w:r>
        <w:rPr>
          <w:rFonts w:ascii="Calibri" w:cs="Calibri" w:eastAsia="Calibri" w:hAnsi="Calibri"/>
          <w:sz w:val="20"/>
          <w:szCs w:val="20"/>
        </w:rPr>
        <w:t xml:space="preserve">28,1 %, contre 20,3 % dans le département (+7,8 pts). </w:t>
      </w:r>
      <w:r>
        <w:rPr>
          <w:rFonts w:ascii="Calibri" w:cs="Calibri" w:eastAsia="Calibri" w:hAnsi="Calibri"/>
          <w:color w:val="637381"/>
          <w:sz w:val="17"/>
          <w:szCs w:val="17"/>
        </w:rPr>
        <w:t xml:space="preserve">INSEE, Filosofi, 2023.</w:t>
      </w:r>
    </w:p>
    <w:p>
      <w:pPr>
        <w:pStyle w:val="ListParagraph"/>
        <w:numPr>
          <w:ilvl w:val="0"/>
          <w:numId w:val="1"/>
        </w:numPr>
        <w:spacing w:after="80"/>
      </w:pPr>
      <w:r>
        <w:rPr>
          <w:rFonts w:ascii="Calibri" w:cs="Calibri" w:eastAsia="Calibri" w:hAnsi="Calibri"/>
          <w:b/>
          <w:bCs/>
          <w:sz w:val="20"/>
          <w:szCs w:val="20"/>
        </w:rPr>
        <w:t xml:space="preserve">Part de la population couverte par une aide au logement : </w:t>
      </w:r>
      <w:r>
        <w:rPr>
          <w:rFonts w:ascii="Calibri" w:cs="Calibri" w:eastAsia="Calibri" w:hAnsi="Calibri"/>
          <w:sz w:val="20"/>
          <w:szCs w:val="20"/>
        </w:rPr>
        <w:t xml:space="preserve">27,8 %, contre 20,3 % dans le département (+7,6 pts). </w:t>
      </w:r>
      <w:r>
        <w:rPr>
          <w:rFonts w:ascii="Calibri" w:cs="Calibri" w:eastAsia="Calibri" w:hAnsi="Calibri"/>
          <w:color w:val="637381"/>
          <w:sz w:val="17"/>
          <w:szCs w:val="17"/>
        </w:rPr>
        <w:t xml:space="preserve">Cnaf, data.caf.fr, décembre 2024 (population 2023).</w:t>
      </w:r>
    </w:p>
    <w:p>
      <w:pPr>
        <w:pStyle w:val="ListParagraph"/>
        <w:numPr>
          <w:ilvl w:val="0"/>
          <w:numId w:val="1"/>
        </w:numPr>
        <w:spacing w:after="80"/>
      </w:pPr>
      <w:r>
        <w:rPr>
          <w:rFonts w:ascii="Calibri" w:cs="Calibri" w:eastAsia="Calibri" w:hAnsi="Calibri"/>
          <w:b/>
          <w:bCs/>
          <w:sz w:val="20"/>
          <w:szCs w:val="20"/>
        </w:rPr>
        <w:t xml:space="preserve">Part des foyers allocataires à bas quotient familial : </w:t>
      </w:r>
      <w:r>
        <w:rPr>
          <w:rFonts w:ascii="Calibri" w:cs="Calibri" w:eastAsia="Calibri" w:hAnsi="Calibri"/>
          <w:sz w:val="20"/>
          <w:szCs w:val="20"/>
        </w:rPr>
        <w:t xml:space="preserve">25,2 %, contre 21,2 % dans le département (+4,0 pts). </w:t>
      </w:r>
      <w:r>
        <w:rPr>
          <w:rFonts w:ascii="Calibri" w:cs="Calibri" w:eastAsia="Calibri" w:hAnsi="Calibri"/>
          <w:color w:val="637381"/>
          <w:sz w:val="17"/>
          <w:szCs w:val="17"/>
        </w:rPr>
        <w:t xml:space="preserve">Cnaf, data.caf.fr (quotient familial), décembre 2024.</w:t>
      </w:r>
    </w:p>
    <w:p>
      <w:pPr>
        <w:pStyle w:val="Heading1"/>
        <w:spacing w:after="140" w:before="280"/>
      </w:pPr>
      <w:r>
        <w:rPr>
          <w:rFonts w:ascii="Calibri" w:cs="Calibri" w:eastAsia="Calibri" w:hAnsi="Calibri"/>
          <w:b/>
          <w:bCs/>
          <w:color w:val="0C4349"/>
          <w:sz w:val="30"/>
          <w:szCs w:val="30"/>
        </w:rPr>
        <w:t xml:space="preserve">Commentaire de synthèse</w:t>
      </w:r>
    </w:p>
    <w:p>
      <w:pPr>
        <w:spacing w:after="160"/>
      </w:pPr>
      <w:r>
        <w:rPr>
          <w:rFonts w:ascii="Calibri" w:cs="Calibri" w:eastAsia="Calibri" w:hAnsi="Calibri"/>
        </w:rPr>
        <w:t xml:space="preserve">Marseille compte 886 040 habitants (recensement 2023). Sa population a progressé de 0,43 % par an entre 2017 et 2023, contre 0,52 % dans le département et 0,39 % en France. Les indicateurs cités proviennent de sources aux millésimes différents (recensement et Filosofi 2023, Caf décembre 2024) et ne décrivent pas une situation simultanée. Les écarts défavorables au département se concentrent sur la pauvreté, le logement et la structure familiale.</w:t>
      </w:r>
    </w:p>
    <w:p>
      <w:pPr>
        <w:spacing w:after="160"/>
      </w:pPr>
      <w:r>
        <w:rPr>
          <w:rFonts w:ascii="Calibri" w:cs="Calibri" w:eastAsia="Calibri" w:hAnsi="Calibri"/>
        </w:rPr>
        <w:t xml:space="preserve">Pauvreté et minima sociaux : le taux de pauvreté atteint 28,1 % en 2023 (Filosofi), contre 20,3 % dans le département et 15,9 % en France métropolitaine. En décembre 2024, 11,1 % de la population est couverte par le RSA, contre 7,3 % dans le département et 5,4 % en France.</w:t>
      </w:r>
    </w:p>
    <w:p>
      <w:pPr>
        <w:spacing w:after="160"/>
      </w:pPr>
      <w:r>
        <w:rPr>
          <w:rFonts w:ascii="Calibri" w:cs="Calibri" w:eastAsia="Calibri" w:hAnsi="Calibri"/>
        </w:rPr>
        <w:t xml:space="preserve">Logement : 17,7 % des résidences principales sont suroccupées en 2023, contre 12,6 % dans le département et 9,6 % en France. La part de la population couverte par une aide au logement s'élève à 27,8 % en décembre 2024, contre 20,3 % dans le département et 16,0 % en France.</w:t>
      </w:r>
    </w:p>
    <w:p>
      <w:pPr>
        <w:spacing w:after="160"/>
      </w:pPr>
      <w:r>
        <w:rPr>
          <w:rFonts w:ascii="Calibri" w:cs="Calibri" w:eastAsia="Calibri" w:hAnsi="Calibri"/>
        </w:rPr>
        <w:t xml:space="preserve">Familles monoparentales et personnes seules : les familles monoparentales représentent 25,1 % des familles en 2023, contre 20,8 % dans le département et 17,5 % en France. La part des ménages d'une seule personne est de 44,9 %, contre 40,1 % dans le département et 39,1 % en France.</w:t>
      </w:r>
    </w:p>
    <w:p>
      <w:pPr>
        <w:spacing w:after="120"/>
      </w:pPr>
      <w:r>
        <w:rPr>
          <w:rFonts w:ascii="Calibri" w:cs="Calibri" w:eastAsia="Calibri" w:hAnsi="Calibri"/>
          <w:i/>
          <w:iCs/>
          <w:color w:val="637381"/>
          <w:sz w:val="17"/>
          <w:szCs w:val="17"/>
        </w:rPr>
        <w:t xml:space="preserve">Texte généré automatiquement à partir des indicateurs du portrait — à relire. Contrôle automatique : les 32 nombres cités figurent dans la base.</w:t>
      </w:r>
    </w:p>
    <w:p>
      <w:pPr>
        <w:pStyle w:val="Heading1"/>
        <w:spacing w:after="140" w:before="280"/>
      </w:pPr>
      <w:r>
        <w:rPr>
          <w:rFonts w:ascii="Calibri" w:cs="Calibri" w:eastAsia="Calibri" w:hAnsi="Calibri"/>
          <w:b/>
          <w:bCs/>
          <w:color w:val="0C4349"/>
          <w:sz w:val="30"/>
          <w:szCs w:val="30"/>
        </w:rPr>
        <w:t xml:space="preserve">Cinq enjeux prioritaires</w:t>
      </w:r>
    </w:p>
    <w:p>
      <w:pPr>
        <w:spacing w:after="120"/>
      </w:pPr>
      <w:r>
        <w:rPr>
          <w:rFonts w:ascii="Calibri" w:cs="Calibri" w:eastAsia="Calibri" w:hAnsi="Calibri"/>
          <w:i/>
          <w:iCs/>
          <w:color w:val="637381"/>
          <w:sz w:val="17"/>
          <w:szCs w:val="17"/>
        </w:rPr>
        <w:t xml:space="preserve">Hiérarchisation et questions proposées par une IA à partir des indicateurs du portrait — à valider par le consultant.</w:t>
      </w:r>
    </w:p>
    <w:p>
      <w:pPr>
        <w:spacing w:after="40" w:before="120"/>
      </w:pPr>
      <w:r>
        <w:rPr>
          <w:rFonts w:ascii="Calibri" w:cs="Calibri" w:eastAsia="Calibri" w:hAnsi="Calibri"/>
          <w:b/>
          <w:bCs/>
          <w:color w:val="0C4349"/>
          <w:sz w:val="22"/>
          <w:szCs w:val="22"/>
        </w:rPr>
        <w:t xml:space="preserve">1. Pauvreté monétaire et bas quotients familiaux</w:t>
      </w:r>
    </w:p>
    <w:p>
      <w:pPr>
        <w:spacing w:after="40"/>
      </w:pPr>
      <w:r>
        <w:rPr>
          <w:rFonts w:ascii="Calibri" w:cs="Calibri" w:eastAsia="Calibri" w:hAnsi="Calibri"/>
        </w:rPr>
        <w:t xml:space="preserve">Le taux de pauvreté atteint 28,1 % à Marseille contre 20,3 % dans le département, et 25,2 % des foyers allocataires ont un bas quotient familial contre 21,2 % dans le département. Le niveau de vie médian est de 22 860 € par an contre 25 610 €.</w:t>
      </w:r>
    </w:p>
    <w:p>
      <w:pPr>
        <w:spacing w:after="120"/>
      </w:pPr>
      <w:r>
        <w:rPr>
          <w:rFonts w:ascii="Calibri" w:cs="Calibri" w:eastAsia="Calibri" w:hAnsi="Calibri"/>
          <w:i/>
          <w:iCs/>
          <w:color w:val="637381"/>
        </w:rPr>
        <w:t xml:space="preserve">Question pour le conseil : Comment le conseil lit-il l'ampleur de la précarité financière des ménages marseillais, et quels publics lui paraissent les plus exposés au regard de ces écarts ?</w:t>
      </w:r>
    </w:p>
    <w:p>
      <w:pPr>
        <w:spacing w:after="40" w:before="120"/>
      </w:pPr>
      <w:r>
        <w:rPr>
          <w:rFonts w:ascii="Calibri" w:cs="Calibri" w:eastAsia="Calibri" w:hAnsi="Calibri"/>
          <w:b/>
          <w:bCs/>
          <w:color w:val="0C4349"/>
          <w:sz w:val="22"/>
          <w:szCs w:val="22"/>
        </w:rPr>
        <w:t xml:space="preserve">2. Aides au logement et suroccupation des résidences</w:t>
      </w:r>
    </w:p>
    <w:p>
      <w:pPr>
        <w:spacing w:after="40"/>
      </w:pPr>
      <w:r>
        <w:rPr>
          <w:rFonts w:ascii="Calibri" w:cs="Calibri" w:eastAsia="Calibri" w:hAnsi="Calibri"/>
        </w:rPr>
        <w:t xml:space="preserve">La part de la population couverte par une aide au logement est de 27,8 % contre 20,3 % dans le département. Les résidences principales suroccupées représentent 17,7 % contre 12,6 % dans le département, et les ménages locataires 54,7 % contre 46,7 %.</w:t>
      </w:r>
    </w:p>
    <w:p>
      <w:pPr>
        <w:spacing w:after="120"/>
      </w:pPr>
      <w:r>
        <w:rPr>
          <w:rFonts w:ascii="Calibri" w:cs="Calibri" w:eastAsia="Calibri" w:hAnsi="Calibri"/>
          <w:i/>
          <w:iCs/>
          <w:color w:val="637381"/>
        </w:rPr>
        <w:t xml:space="preserve">Question pour le conseil : Quels liens le conseil perçoit-il entre les conditions de logement des Marseillais et les situations sociales que le CCAS rencontre dans son activité ?</w:t>
      </w:r>
    </w:p>
    <w:p>
      <w:pPr>
        <w:spacing w:after="40" w:before="120"/>
      </w:pPr>
      <w:r>
        <w:rPr>
          <w:rFonts w:ascii="Calibri" w:cs="Calibri" w:eastAsia="Calibri" w:hAnsi="Calibri"/>
          <w:b/>
          <w:bCs/>
          <w:color w:val="0C4349"/>
          <w:sz w:val="22"/>
          <w:szCs w:val="22"/>
        </w:rPr>
        <w:t xml:space="preserve">3. Part élevée de la population couverte par le RSA</w:t>
      </w:r>
    </w:p>
    <w:p>
      <w:pPr>
        <w:spacing w:after="40"/>
      </w:pPr>
      <w:r>
        <w:rPr>
          <w:rFonts w:ascii="Calibri" w:cs="Calibri" w:eastAsia="Calibri" w:hAnsi="Calibri"/>
        </w:rPr>
        <w:t xml:space="preserve">Le RSA couvre 11,1 % de la population marseillaise contre 7,3 % dans le département, soit 43 435 foyers allocataires. Le taux de chômage des 15-64 ans est de 13,5 % contre 11,6 % dans le département.</w:t>
      </w:r>
    </w:p>
    <w:p>
      <w:pPr>
        <w:spacing w:after="120"/>
      </w:pPr>
      <w:r>
        <w:rPr>
          <w:rFonts w:ascii="Calibri" w:cs="Calibri" w:eastAsia="Calibri" w:hAnsi="Calibri"/>
          <w:i/>
          <w:iCs/>
          <w:color w:val="637381"/>
        </w:rPr>
        <w:t xml:space="preserve">Question pour le conseil : Quelles situations d'éloignement de l'emploi ou de fragilité des ressources le conseil observe-t-il derrière ces données, et lesquelles lui semblent encore mal connues ?</w:t>
      </w:r>
    </w:p>
    <w:p>
      <w:pPr>
        <w:spacing w:after="40" w:before="120"/>
      </w:pPr>
      <w:r>
        <w:rPr>
          <w:rFonts w:ascii="Calibri" w:cs="Calibri" w:eastAsia="Calibri" w:hAnsi="Calibri"/>
          <w:b/>
          <w:bCs/>
          <w:color w:val="0C4349"/>
          <w:sz w:val="22"/>
          <w:szCs w:val="22"/>
        </w:rPr>
        <w:t xml:space="preserve">4. Hausse estimée des 80 ans ou plus</w:t>
      </w:r>
    </w:p>
    <w:p>
      <w:pPr>
        <w:spacing w:after="40"/>
      </w:pPr>
      <w:r>
        <w:rPr>
          <w:rFonts w:ascii="Calibri" w:cs="Calibri" w:eastAsia="Calibri" w:hAnsi="Calibri"/>
        </w:rPr>
        <w:t xml:space="preserve">Les 80 ans ou plus passeraient de 53 139 en 2022 à 70 038 en 2031 (estimation). Les 65 ans ou plus vivant seuls représentent 41,4 % contre 35,9 % dans le département, et l'offre en EHPAD est de 1,20 pour 1 000 habitants de 80 ans ou plus contre 1,45 dans le département.</w:t>
      </w:r>
    </w:p>
    <w:p>
      <w:pPr>
        <w:spacing w:after="120"/>
      </w:pPr>
      <w:r>
        <w:rPr>
          <w:rFonts w:ascii="Calibri" w:cs="Calibri" w:eastAsia="Calibri" w:hAnsi="Calibri"/>
          <w:i/>
          <w:iCs/>
          <w:color w:val="637381"/>
        </w:rPr>
        <w:t xml:space="preserve">Question pour le conseil : Comment le conseil envisage-t-il l'évolution des besoins des personnes âgées, notamment isolées, au regard de la croissance attendue de cette tranche d'âge ?</w:t>
      </w:r>
    </w:p>
    <w:p>
      <w:pPr>
        <w:spacing w:after="40" w:before="120"/>
      </w:pPr>
      <w:r>
        <w:rPr>
          <w:rFonts w:ascii="Calibri" w:cs="Calibri" w:eastAsia="Calibri" w:hAnsi="Calibri"/>
          <w:b/>
          <w:bCs/>
          <w:color w:val="0C4349"/>
          <w:sz w:val="22"/>
          <w:szCs w:val="22"/>
        </w:rPr>
        <w:t xml:space="preserve">5. Accueil du jeune enfant en retrait</w:t>
      </w:r>
    </w:p>
    <w:p>
      <w:pPr>
        <w:spacing w:after="40"/>
      </w:pPr>
      <w:r>
        <w:rPr>
          <w:rFonts w:ascii="Calibri" w:cs="Calibri" w:eastAsia="Calibri" w:hAnsi="Calibri"/>
        </w:rPr>
        <w:t xml:space="preserve">Le taux de couverture de l'accueil du jeune enfant est de 42,8 places pour 100 enfants contre 50,6 dans le département. L'estimation fait état de 15 353 enfants de moins de 3 ans sans place d'accueil formel, pour 15 411 places.</w:t>
      </w:r>
    </w:p>
    <w:p>
      <w:pPr>
        <w:spacing w:after="120"/>
      </w:pPr>
      <w:r>
        <w:rPr>
          <w:rFonts w:ascii="Calibri" w:cs="Calibri" w:eastAsia="Calibri" w:hAnsi="Calibri"/>
          <w:i/>
          <w:iCs/>
          <w:color w:val="637381"/>
        </w:rPr>
        <w:t xml:space="preserve">Question pour le conseil : Comment le conseil perçoit-il les effets de ce niveau de couverture sur les familles, et quelles situations souhaite-t-il mieux connaître ?</w:t>
      </w:r>
    </w:p>
    <w:p>
      <w:pPr>
        <w:pStyle w:val="Heading1"/>
        <w:spacing w:after="140" w:before="280"/>
      </w:pPr>
      <w:r>
        <w:rPr>
          <w:rFonts w:ascii="Calibri" w:cs="Calibri" w:eastAsia="Calibri" w:hAnsi="Calibri"/>
          <w:b/>
          <w:bCs/>
          <w:color w:val="0C4349"/>
          <w:sz w:val="30"/>
          <w:szCs w:val="30"/>
        </w:rPr>
        <w:t xml:space="preserve">Démographie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090"/>
        <w:gridCol w:w="1090"/>
        <w:gridCol w:w="991"/>
        <w:gridCol w:w="1090"/>
        <w:gridCol w:w="1090"/>
        <w:gridCol w:w="1585"/>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Indicateur</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Marseille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Département</w:t>
            </w:r>
          </w:p>
        </w:tc>
        <w:tc>
          <w:tcPr>
            <w:tcW w:type="pct" w:w="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France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Écart au dép.</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Position</w:t>
            </w:r>
          </w:p>
        </w:tc>
        <w:tc>
          <w:tcPr>
            <w:tcW w:type="pct" w:w="8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Évolution</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Population municipale (hab.)</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886 040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+2,6 %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Évolution annuelle moyenne de la population (% par an)</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0,4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0,5</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−0,1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En dessous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moins de 20 ans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23,6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22,9</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23,2</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+0,7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−1,0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65 ans ou plus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19,5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21,2</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21,2</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−1,7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+0,5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80 ans ou plus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6,3</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−0,3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−0,3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Indice de vieillissement (pour 100)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83</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93</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91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−10,6 %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En dessous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+7,2 % depuis 2017</w:t>
            </w:r>
          </w:p>
        </w:tc>
      </w:tr>
    </w:tbl>
    <w:p>
      <w:pPr>
        <w:spacing w:after="60"/>
      </w:pPr>
      <w:r>
        <w:rPr>
          <w:rFonts w:ascii="Calibri" w:cs="Calibri" w:eastAsia="Calibri" w:hAnsi="Calibri"/>
          <w:color w:val="637381"/>
          <w:sz w:val="16"/>
          <w:szCs w:val="16"/>
        </w:rPr>
        <w:t xml:space="preserve">Sources : INSEE, Recensement de la population (2023) ; INSEE, Recensement de la population (2017-2023).</w:t>
      </w:r>
    </w:p>
    <w:p>
      <w:pPr>
        <w:pStyle w:val="Heading1"/>
        <w:spacing w:after="140" w:before="280"/>
      </w:pPr>
      <w:r>
        <w:rPr>
          <w:rFonts w:ascii="Calibri" w:cs="Calibri" w:eastAsia="Calibri" w:hAnsi="Calibri"/>
          <w:b/>
          <w:bCs/>
          <w:color w:val="0C4349"/>
          <w:sz w:val="30"/>
          <w:szCs w:val="30"/>
        </w:rPr>
        <w:t xml:space="preserve">Ménages et familles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090"/>
        <w:gridCol w:w="1090"/>
        <w:gridCol w:w="991"/>
        <w:gridCol w:w="1090"/>
        <w:gridCol w:w="1090"/>
        <w:gridCol w:w="1585"/>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Indicateur</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Marseille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Département</w:t>
            </w:r>
          </w:p>
        </w:tc>
        <w:tc>
          <w:tcPr>
            <w:tcW w:type="pct" w:w="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France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Écart au dép.</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Position</w:t>
            </w:r>
          </w:p>
        </w:tc>
        <w:tc>
          <w:tcPr>
            <w:tcW w:type="pct" w:w="8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Évolution</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Taille moyenne des ménages (pers.)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2,07</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2,13</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2,14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−2,7 %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ménages d'une seule personne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44,9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40,1</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39,1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+4,7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 pts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80 ans ou plus vivant seuls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51,6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47,8</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48,4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−0,4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65 ans ou plus vivant seuls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41,4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35,9</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+5,4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+0,8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familles monoparentales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25,1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20,8</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17,5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+4,3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+0,9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familles de trois enfants ou plus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11,1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8,8</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8,9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+2,3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−0,1 pt depuis 2017</w:t>
            </w:r>
          </w:p>
        </w:tc>
      </w:tr>
    </w:tbl>
    <w:p>
      <w:pPr>
        <w:spacing w:after="60"/>
      </w:pPr>
      <w:r>
        <w:rPr>
          <w:rFonts w:ascii="Calibri" w:cs="Calibri" w:eastAsia="Calibri" w:hAnsi="Calibri"/>
          <w:color w:val="637381"/>
          <w:sz w:val="16"/>
          <w:szCs w:val="16"/>
        </w:rPr>
        <w:t xml:space="preserve">Sources : INSEE, Recensement de la population (2023).</w:t>
      </w:r>
    </w:p>
    <w:p>
      <w:pPr>
        <w:pStyle w:val="Heading1"/>
        <w:spacing w:after="140" w:before="280"/>
      </w:pPr>
      <w:r>
        <w:rPr>
          <w:rFonts w:ascii="Calibri" w:cs="Calibri" w:eastAsia="Calibri" w:hAnsi="Calibri"/>
          <w:b/>
          <w:bCs/>
          <w:color w:val="0C4349"/>
          <w:sz w:val="30"/>
          <w:szCs w:val="30"/>
        </w:rPr>
        <w:t xml:space="preserve">Jeunesse et formation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090"/>
        <w:gridCol w:w="1090"/>
        <w:gridCol w:w="991"/>
        <w:gridCol w:w="1090"/>
        <w:gridCol w:w="1090"/>
        <w:gridCol w:w="1585"/>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Indicateur</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Marseille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Département</w:t>
            </w:r>
          </w:p>
        </w:tc>
        <w:tc>
          <w:tcPr>
            <w:tcW w:type="pct" w:w="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France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Écart au dép.</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Position</w:t>
            </w:r>
          </w:p>
        </w:tc>
        <w:tc>
          <w:tcPr>
            <w:tcW w:type="pct" w:w="8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Évolution</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15-24 ans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12,9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12,0</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11,9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+1,0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0,0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Taux de scolarisation des 18-24 ans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60,8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56,3</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51,6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+4,5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+0,3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Taux de chômage des 15-24 ans (au sens du recensement)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24,1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22,9</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+1,1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−9,2 pts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non-diplômés parmi les 15 ans ou plus non scolarisés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22,3</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19,8</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19,4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 pts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diplômés de l'enseignement supérieur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36,5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36,6</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−0,1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+4,0 pts depuis 2017</w:t>
            </w:r>
          </w:p>
        </w:tc>
      </w:tr>
    </w:tbl>
    <w:p>
      <w:pPr>
        <w:spacing w:after="60"/>
      </w:pPr>
      <w:r>
        <w:rPr>
          <w:rFonts w:ascii="Calibri" w:cs="Calibri" w:eastAsia="Calibri" w:hAnsi="Calibri"/>
          <w:color w:val="637381"/>
          <w:sz w:val="16"/>
          <w:szCs w:val="16"/>
        </w:rPr>
        <w:t xml:space="preserve">Sources : INSEE, Recensement de la population (2023).</w:t>
      </w:r>
    </w:p>
    <w:p>
      <w:pPr>
        <w:pStyle w:val="Heading1"/>
        <w:spacing w:after="140" w:before="280"/>
      </w:pPr>
      <w:r>
        <w:rPr>
          <w:rFonts w:ascii="Calibri" w:cs="Calibri" w:eastAsia="Calibri" w:hAnsi="Calibri"/>
          <w:b/>
          <w:bCs/>
          <w:color w:val="0C4349"/>
          <w:sz w:val="30"/>
          <w:szCs w:val="30"/>
        </w:rPr>
        <w:t xml:space="preserve">Revenus et pauvreté</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090"/>
        <w:gridCol w:w="1090"/>
        <w:gridCol w:w="991"/>
        <w:gridCol w:w="1090"/>
        <w:gridCol w:w="1090"/>
        <w:gridCol w:w="1585"/>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Indicateur</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Marseille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Département</w:t>
            </w:r>
          </w:p>
        </w:tc>
        <w:tc>
          <w:tcPr>
            <w:tcW w:type="pct" w:w="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France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Écart au dép.</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Position</w:t>
            </w:r>
          </w:p>
        </w:tc>
        <w:tc>
          <w:tcPr>
            <w:tcW w:type="pct" w:w="8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Évolution</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Niveau de vie médian (€ par an)</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22 860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25 610</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25 920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−10,7 %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En dessous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Taux de pauvreté (seuil de 60 %)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28,1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20,3</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15,9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+7,8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Rapport interdécile (D9/D1)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Indisponible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4,0</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bl>
    <w:p>
      <w:pPr>
        <w:spacing w:after="60"/>
      </w:pPr>
      <w:r>
        <w:rPr>
          <w:rFonts w:ascii="Calibri" w:cs="Calibri" w:eastAsia="Calibri" w:hAnsi="Calibri"/>
          <w:color w:val="637381"/>
          <w:sz w:val="16"/>
          <w:szCs w:val="16"/>
        </w:rPr>
        <w:t xml:space="preserve">Sources : INSEE, Filosofi (2023).</w:t>
      </w:r>
    </w:p>
    <w:p>
      <w:pPr>
        <w:spacing w:after="120"/>
      </w:pPr>
      <w:r>
        <w:rPr>
          <w:rFonts w:ascii="Calibri" w:cs="Calibri" w:eastAsia="Calibri" w:hAnsi="Calibri"/>
          <w:color w:val="637381"/>
          <w:sz w:val="16"/>
          <w:szCs w:val="16"/>
        </w:rPr>
        <w:t xml:space="preserve">Données absentes — Rapport interdécile (D9/D1) : Non diffusé à ce niveau géographique par le producteur.</w:t>
      </w:r>
    </w:p>
    <w:p>
      <w:pPr>
        <w:pStyle w:val="Heading1"/>
        <w:spacing w:after="140" w:before="280"/>
      </w:pPr>
      <w:r>
        <w:rPr>
          <w:rFonts w:ascii="Calibri" w:cs="Calibri" w:eastAsia="Calibri" w:hAnsi="Calibri"/>
          <w:b/>
          <w:bCs/>
          <w:color w:val="0C4349"/>
          <w:sz w:val="30"/>
          <w:szCs w:val="30"/>
        </w:rPr>
        <w:t xml:space="preserve">Prestations sociales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090"/>
        <w:gridCol w:w="1090"/>
        <w:gridCol w:w="991"/>
        <w:gridCol w:w="1090"/>
        <w:gridCol w:w="1090"/>
        <w:gridCol w:w="1585"/>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Indicateur</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Marseille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Département</w:t>
            </w:r>
          </w:p>
        </w:tc>
        <w:tc>
          <w:tcPr>
            <w:tcW w:type="pct" w:w="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France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Écart au dép.</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Position</w:t>
            </w:r>
          </w:p>
        </w:tc>
        <w:tc>
          <w:tcPr>
            <w:tcW w:type="pct" w:w="8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Évolution</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Foyers allocataires de la Caf (foyers)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232 050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−2,6 % depuis 2020</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 la population couverte par la Caf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56,4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50,8</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47,1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+5,6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foyers allocataires à bas quotient familial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25,2</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21,2</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+4,0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Foyers allocataires du RSA (foyers)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43 435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−18,2 % depuis 2020</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 la population couverte par le RSA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11,1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7,3</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Bénéficiaires de l'AAH pour 100 habitants de 20 à 64 ans (pour 100)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Indisponible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Foyers allocataires de la prime d'activité (foyers)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78 430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+7,0 % depuis 2020</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 la population couverte par la prime d'activité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17,3</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14,8</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13,1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Foyers allocataires d'une aide au logement (foyers)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123 880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−12,1 % depuis 2020</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 la population couverte par une aide au logement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27,8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20,3</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16,0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+7,6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bl>
    <w:p>
      <w:pPr>
        <w:spacing w:after="60"/>
      </w:pPr>
      <w:r>
        <w:rPr>
          <w:rFonts w:ascii="Calibri" w:cs="Calibri" w:eastAsia="Calibri" w:hAnsi="Calibri"/>
          <w:color w:val="637381"/>
          <w:sz w:val="16"/>
          <w:szCs w:val="16"/>
        </w:rPr>
        <w:t xml:space="preserve">Sources : Cnaf, data.caf.fr (décembre 2024) ; Cnaf, data.caf.fr (décembre 2024 (population 2023)) ; Cnaf, data.caf.fr (quotient familial) (décembre 2024) ; Cnaf, data.caf.fr (AAH) (décembre 2024 (population 2023)).</w:t>
      </w:r>
    </w:p>
    <w:p>
      <w:pPr>
        <w:spacing w:after="120"/>
      </w:pPr>
      <w:r>
        <w:rPr>
          <w:rFonts w:ascii="Calibri" w:cs="Calibri" w:eastAsia="Calibri" w:hAnsi="Calibri"/>
          <w:color w:val="637381"/>
          <w:sz w:val="16"/>
          <w:szCs w:val="16"/>
        </w:rPr>
        <w:t xml:space="preserve">Données absentes — Bénéficiaires de l'AAH pour 100 habitants de 20 à 64 ans : Non diffusé à ce niveau géographique par le producteur.</w:t>
      </w:r>
    </w:p>
    <w:p>
      <w:pPr>
        <w:pStyle w:val="Heading1"/>
        <w:spacing w:after="140" w:before="280"/>
      </w:pPr>
      <w:r>
        <w:rPr>
          <w:rFonts w:ascii="Calibri" w:cs="Calibri" w:eastAsia="Calibri" w:hAnsi="Calibri"/>
          <w:b/>
          <w:bCs/>
          <w:color w:val="0C4349"/>
          <w:sz w:val="30"/>
          <w:szCs w:val="30"/>
        </w:rPr>
        <w:t xml:space="preserve">Emploi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090"/>
        <w:gridCol w:w="1090"/>
        <w:gridCol w:w="991"/>
        <w:gridCol w:w="1090"/>
        <w:gridCol w:w="1090"/>
        <w:gridCol w:w="1585"/>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Indicateur</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Marseille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Département</w:t>
            </w:r>
          </w:p>
        </w:tc>
        <w:tc>
          <w:tcPr>
            <w:tcW w:type="pct" w:w="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France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Écart au dép.</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Position</w:t>
            </w:r>
          </w:p>
        </w:tc>
        <w:tc>
          <w:tcPr>
            <w:tcW w:type="pct" w:w="8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Évolution</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Taux de chômage des 15-64 ans (au sens du recensement)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13,5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11,6</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11,4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+1,9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−4,2 pts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Taux d'activité des 15-64 ans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68,1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72,3</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75,6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−4,2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Taux d'emploi des 15-64 ans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59,0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63,9</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66,9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−5,0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+4,1 pts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salariés en contrat court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16,5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14,8</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15,5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+0,9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salariés à temps partiel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15,8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15,4</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15,7</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+0,4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 pts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ouvriers et employés parmi les 15 ans ou plus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23,9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24,0</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−0,1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−1,2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Demandeurs d'emploi inscrits (catégories A, B, C) (inscrits)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94 320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−3,2 % depuis 2019</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Demandeurs d'emploi (A, B, C) pour 100 habitants de 15 à 64 ans (pour 100)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16,9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14,9</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13,2</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+1,9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moins de 25 ans parmi les demandeurs d'emploi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11,8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12,5</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13,6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−0,8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+0,4 pt depuis 2019</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50 ans ou plus parmi les demandeurs d'emploi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24,8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26,6</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−0,4 pt depuis 2019</w:t>
            </w:r>
          </w:p>
        </w:tc>
      </w:tr>
    </w:tbl>
    <w:p>
      <w:pPr>
        <w:spacing w:after="60"/>
      </w:pPr>
      <w:r>
        <w:rPr>
          <w:rFonts w:ascii="Calibri" w:cs="Calibri" w:eastAsia="Calibri" w:hAnsi="Calibri"/>
          <w:color w:val="637381"/>
          <w:sz w:val="16"/>
          <w:szCs w:val="16"/>
        </w:rPr>
        <w:t xml:space="preserve">Sources : INSEE, Recensement de la population (2023) ; Dares, France Travail (STMT) (4e trimestre 2024) ; Dares, France Travail (STMT) (4e trimestre 2024 (population 2023)).</w:t>
      </w:r>
    </w:p>
    <w:p>
      <w:pPr>
        <w:pStyle w:val="Heading1"/>
        <w:spacing w:after="140" w:before="280"/>
      </w:pPr>
      <w:r>
        <w:rPr>
          <w:rFonts w:ascii="Calibri" w:cs="Calibri" w:eastAsia="Calibri" w:hAnsi="Calibri"/>
          <w:b/>
          <w:bCs/>
          <w:color w:val="0C4349"/>
          <w:sz w:val="30"/>
          <w:szCs w:val="30"/>
        </w:rPr>
        <w:t xml:space="preserve">Logement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090"/>
        <w:gridCol w:w="1090"/>
        <w:gridCol w:w="991"/>
        <w:gridCol w:w="1090"/>
        <w:gridCol w:w="1090"/>
        <w:gridCol w:w="1585"/>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Indicateur</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Marseille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Département</w:t>
            </w:r>
          </w:p>
        </w:tc>
        <w:tc>
          <w:tcPr>
            <w:tcW w:type="pct" w:w="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France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Écart au dép.</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Position</w:t>
            </w:r>
          </w:p>
        </w:tc>
        <w:tc>
          <w:tcPr>
            <w:tcW w:type="pct" w:w="8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Évolution</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ménages locataires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54,7</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46,7</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40,3</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+8,1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+0,9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ménages locataires du parc social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15,8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15,1</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+0,7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−0,3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résidences principales suroccupées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17,7</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12,6</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9,6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+5,1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−0,3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logements vacants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7,6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7,1</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+0,5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Proche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−0,5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ménages sans voiture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33,1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21,1</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+12,0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+0,2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Part des habitants arrivés d'une autre commune depuis moins d'un an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4,5</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6,5</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−1,6 pt</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En dessous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−0,5 pt depuis 2017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Logements locatifs sociaux (RPLS) (logements)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Indisponible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bl>
    <w:p>
      <w:pPr>
        <w:spacing w:after="60"/>
      </w:pPr>
      <w:r>
        <w:rPr>
          <w:rFonts w:ascii="Calibri" w:cs="Calibri" w:eastAsia="Calibri" w:hAnsi="Calibri"/>
          <w:color w:val="637381"/>
          <w:sz w:val="16"/>
          <w:szCs w:val="16"/>
        </w:rPr>
        <w:t xml:space="preserve">Sources : INSEE, Recensement de la population (2023).</w:t>
      </w:r>
    </w:p>
    <w:p>
      <w:pPr>
        <w:spacing w:after="120"/>
      </w:pPr>
      <w:r>
        <w:rPr>
          <w:rFonts w:ascii="Calibri" w:cs="Calibri" w:eastAsia="Calibri" w:hAnsi="Calibri"/>
          <w:color w:val="637381"/>
          <w:sz w:val="16"/>
          <w:szCs w:val="16"/>
        </w:rPr>
        <w:t xml:space="preserve">Données absentes — Logements locatifs sociaux (RPLS) : Source RPLS non intégrée au prototype (priorité 2) ; voir la part des ménages locataires du parc social.</w:t>
      </w:r>
    </w:p>
    <w:p>
      <w:pPr>
        <w:pStyle w:val="Heading1"/>
        <w:spacing w:after="140" w:before="280"/>
      </w:pPr>
      <w:r>
        <w:rPr>
          <w:rFonts w:ascii="Calibri" w:cs="Calibri" w:eastAsia="Calibri" w:hAnsi="Calibri"/>
          <w:b/>
          <w:bCs/>
          <w:color w:val="0C4349"/>
          <w:sz w:val="30"/>
          <w:szCs w:val="30"/>
        </w:rPr>
        <w:t xml:space="preserve">Santé et accès aux services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090"/>
        <w:gridCol w:w="1090"/>
        <w:gridCol w:w="991"/>
        <w:gridCol w:w="1090"/>
        <w:gridCol w:w="1090"/>
        <w:gridCol w:w="1585"/>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Indicateur</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Marseille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Département</w:t>
            </w:r>
          </w:p>
        </w:tc>
        <w:tc>
          <w:tcPr>
            <w:tcW w:type="pct" w:w="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France</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Écart au dép.</w:t>
            </w:r>
          </w:p>
        </w:tc>
        <w:tc>
          <w:tcPr>
            <w:tcW w:type="pct" w:w="55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Position</w:t>
            </w:r>
          </w:p>
        </w:tc>
        <w:tc>
          <w:tcPr>
            <w:tcW w:type="pct" w:w="8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Évolution</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Médecins généralistes pour 10 000 habitants (pour 10 000 hab.)</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14,6</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12,8</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9,0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+13,9 %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Accessibilité aux médecins généralistes (APL) (consultations par hab. et par an)</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5,2</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4,6</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+13,0 %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+0,7 % depuis 2022</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Infirmiers libéraux pour 10 000 habitants (pour 10 000 hab.)</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30,4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27,6</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15,1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+10,2 %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Chirurgiens-dentistes pour 10 000 habitants (pour 10 000 hab.)</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10,0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9,1</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+10,2 %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Pharmacies pour 10 000 habitants (pour 10 000 hab.)</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+14,4 %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Au-dessus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EHPAD pour 1 000 habitants de 80 ans ou plus (pour 1 000 hab. de 80 ans ou plus)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1,20</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1,45</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1,77</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−17,0 %</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En dessous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Taux de couverture de l'accueil du jeune enfant (places pour 100 enfants)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42,8</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50,6</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60,9</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−7,8 pts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En dessous</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Enfants de moins de 3 ans (enfants)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30 764</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Places d'accueil formel du jeune enfant (places)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15 411</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Enfants de moins de 3 ans sans place d'accueil formel (estimation) (enfants)</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15 353</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55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c>
          <w:tcPr>
            <w:tcW w:type="pct" w:w="8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w:t>
            </w:r>
          </w:p>
        </w:tc>
      </w:tr>
    </w:tbl>
    <w:p>
      <w:pPr>
        <w:spacing w:after="60"/>
      </w:pPr>
      <w:r>
        <w:rPr>
          <w:rFonts w:ascii="Calibri" w:cs="Calibri" w:eastAsia="Calibri" w:hAnsi="Calibri"/>
          <w:color w:val="637381"/>
          <w:sz w:val="16"/>
          <w:szCs w:val="16"/>
        </w:rPr>
        <w:t xml:space="preserve">Sources : INSEE, Base permanente des équipements (2025 (population 2023)) ; DREES, APL (2024) ; FINESS (2026 (population 2023)) ; Cnaf, data.caf.fr (petite enfance) (2023) ; INSEE, Recensement (IRIS) (2022) ; Cnaf, data.caf.fr (petite enfance) (places 2023, enfants 2022).</w:t>
      </w:r>
    </w:p>
    <w:p>
      <w:pPr>
        <w:pStyle w:val="Heading1"/>
        <w:spacing w:after="140" w:before="280"/>
      </w:pPr>
      <w:r>
        <w:rPr>
          <w:rFonts w:ascii="Calibri" w:cs="Calibri" w:eastAsia="Calibri" w:hAnsi="Calibri"/>
          <w:b/>
          <w:bCs/>
          <w:color w:val="0C4349"/>
          <w:sz w:val="30"/>
          <w:szCs w:val="30"/>
        </w:rPr>
        <w:t xml:space="preserve">Quartiers de Marseille</w:t>
      </w:r>
    </w:p>
    <w:p>
      <w:pPr>
        <w:spacing w:after="120"/>
      </w:pPr>
      <w:r>
        <w:rPr>
          <w:rFonts w:ascii="Calibri" w:cs="Calibri" w:eastAsia="Calibri" w:hAnsi="Calibri"/>
          <w:color w:val="637381"/>
          <w:sz w:val="18"/>
          <w:szCs w:val="18"/>
        </w:rPr>
        <w:t xml:space="preserve">393 quartiers (IRIS). Les 15 premiers par taux de pauvreté ; la liste complète figure dans l'export Excel.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1387"/>
        <w:gridCol w:w="1387"/>
        <w:gridCol w:w="1387"/>
        <w:gridCol w:w="1387"/>
        <w:gridCol w:w="1387"/>
      </w:tblGrid>
      <w:tr>
        <w:trPr>
          <w:tblHeader/>
        </w:trPr>
        <w:tc>
          <w:tcPr>
            <w:tcW w:type="pct" w:w="15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Quartier (IRIS)</w:t>
            </w:r>
          </w:p>
        </w:tc>
        <w:tc>
          <w:tcPr>
            <w:tcW w:type="pct" w:w="7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Taux de pauvreté (seuil de 60 %) (%)</w:t>
            </w:r>
          </w:p>
        </w:tc>
        <w:tc>
          <w:tcPr>
            <w:tcW w:type="pct" w:w="7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Taux de chômage des 15-64 ans (au sens du recensement) (%)</w:t>
            </w:r>
          </w:p>
        </w:tc>
        <w:tc>
          <w:tcPr>
            <w:tcW w:type="pct" w:w="7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Part des familles monoparentales (%)</w:t>
            </w:r>
          </w:p>
        </w:tc>
        <w:tc>
          <w:tcPr>
            <w:tcW w:type="pct" w:w="7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Part de la population couverte par le RSA (%)</w:t>
            </w:r>
          </w:p>
        </w:tc>
        <w:tc>
          <w:tcPr>
            <w:tcW w:type="pct" w:w="7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Part des non-diplômés parmi les 15 ans ou plus non scolarisés (%)</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Zoccolat</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69,0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28,4</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24,8</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23,5</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46,7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Pyat Auphan</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67,0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24,7</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30,4</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18,4</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40,0</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Centre Urbain</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67,0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17,8</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29,9</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42,7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Montolieu</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65,0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17,2</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28,5</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37,6</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Églantines-Rosiers</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65,0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8,0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56,1</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97,2</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44,1</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Castellane</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65,0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14,1</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37,9</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29,5</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46,9</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Thubaneau</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63,0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18,6</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33,2</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18,9</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Camille Pelletan</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63,0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18,5</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33,3</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24,3</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38,3</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Picon-Font Vert</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63,0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31,9</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64,5</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32,7</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42,7</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H.L.M. Aygalades</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63,0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27,8</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50,8</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34,1</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42,1</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Le Racati</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61,0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19,8</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14,6</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50,9</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Saint-Paul Corot</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61,0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41,9</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34,7</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20,2</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56,9</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Gare de l'Est</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59,0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30,9</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37,1</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17,1</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30,9</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Fonscolombes</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59,0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19,5</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38,1</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23,0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36,2</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Lilas-Oliviers</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59,0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36,4</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53,2</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37,9</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57,1</w:t>
            </w:r>
          </w:p>
        </w:tc>
      </w:tr>
      <w:tr>
        <w:trPr>
          <w:cantSplit/>
        </w:trPr>
        <w:tc>
          <w:tcPr>
            <w:tcW w:type="pct" w:w="15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Ensemble de Marseille</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14,0</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25,2</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11,2</w:t>
            </w:r>
          </w:p>
        </w:tc>
        <w:tc>
          <w:tcPr>
            <w:tcW w:type="pct" w:w="7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22,6</w:t>
            </w:r>
          </w:p>
        </w:tc>
      </w:tr>
    </w:tbl>
    <w:p>
      <w:pPr>
        <w:spacing w:after="120"/>
      </w:pPr>
      <w:r>
        <w:rPr>
          <w:rFonts w:ascii="Calibri" w:cs="Calibri" w:eastAsia="Calibri" w:hAnsi="Calibri"/>
          <w:color w:val="637381"/>
          <w:sz w:val="16"/>
          <w:szCs w:val="16"/>
        </w:rPr>
        <w:t xml:space="preserve">Sources : INSEE, Filosofi (IRIS) (2021) ; INSEE, Recensement (IRIS) (2022) ; Cnaf, data.caf.fr (IRIS) (décembre 2024 (population 2022)). Millésimes antérieurs à ceux du portrait communal.</w:t>
      </w:r>
    </w:p>
    <w:p>
      <w:pPr>
        <w:pStyle w:val="Heading2"/>
        <w:spacing w:after="140" w:before="280"/>
      </w:pPr>
      <w:r>
        <w:rPr>
          <w:rFonts w:ascii="Calibri" w:cs="Calibri" w:eastAsia="Calibri" w:hAnsi="Calibri"/>
          <w:b/>
          <w:bCs/>
          <w:color w:val="0C4349"/>
          <w:sz w:val="24"/>
          <w:szCs w:val="24"/>
        </w:rPr>
        <w:t xml:space="preserve">Quartiers prioritaires de la politique de la ville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774"/>
        <w:gridCol w:w="1189"/>
        <w:gridCol w:w="1189"/>
        <w:gridCol w:w="1189"/>
        <w:gridCol w:w="1189"/>
        <w:gridCol w:w="1189"/>
        <w:gridCol w:w="1189"/>
      </w:tblGrid>
      <w:tr>
        <w:trPr>
          <w:tblHeader/>
        </w:trPr>
        <w:tc>
          <w:tcPr>
            <w:tcW w:type="pct" w:w="14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left"/>
            </w:pPr>
            <w:r>
              <w:rPr>
                <w:rFonts w:ascii="Calibri" w:cs="Calibri" w:eastAsia="Calibri" w:hAnsi="Calibri"/>
                <w:b/>
                <w:bCs/>
                <w:color w:val="637381"/>
                <w:sz w:val="17"/>
                <w:szCs w:val="17"/>
              </w:rPr>
              <w:t xml:space="preserve">Quartier prioritaire</w:t>
            </w:r>
          </w:p>
        </w:tc>
        <w:tc>
          <w:tcPr>
            <w:tcW w:type="pct" w:w="6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Foyers allocataires de la Caf</w:t>
            </w:r>
          </w:p>
        </w:tc>
        <w:tc>
          <w:tcPr>
            <w:tcW w:type="pct" w:w="6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Personnes couvertes par la Caf</w:t>
            </w:r>
          </w:p>
        </w:tc>
        <w:tc>
          <w:tcPr>
            <w:tcW w:type="pct" w:w="6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Part des foyers allocataires percevant le RSA (%)</w:t>
            </w:r>
          </w:p>
        </w:tc>
        <w:tc>
          <w:tcPr>
            <w:tcW w:type="pct" w:w="6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Part des foyers allocataires percevant la prime d'activité (%)</w:t>
            </w:r>
          </w:p>
        </w:tc>
        <w:tc>
          <w:tcPr>
            <w:tcW w:type="pct" w:w="6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Part des foyers allocataires percevant une aide au logement (%)</w:t>
            </w:r>
          </w:p>
        </w:tc>
        <w:tc>
          <w:tcPr>
            <w:tcW w:type="pct" w:w="600"/>
            <w:tcBorders>
              <w:top w:val="single" w:color="DFE3E8" w:sz="4"/>
              <w:left w:val="none" w:color="FFFFFF" w:sz="0"/>
              <w:bottom w:val="single" w:color="DFE3E8" w:sz="4"/>
              <w:right w:val="none" w:color="FFFFFF" w:sz="0"/>
            </w:tcBorders>
            <w:shd w:fill="F4F6F8" w:color="auto" w:val="clear"/>
            <w:tcMar>
              <w:top w:type="dxa" w:w="60"/>
              <w:left w:type="dxa" w:w="80"/>
              <w:bottom w:type="dxa" w:w="60"/>
              <w:right w:type="dxa" w:w="80"/>
            </w:tcMar>
          </w:tcPr>
          <w:p>
            <w:pPr>
              <w:jc w:val="right"/>
            </w:pPr>
            <w:r>
              <w:rPr>
                <w:rFonts w:ascii="Calibri" w:cs="Calibri" w:eastAsia="Calibri" w:hAnsi="Calibri"/>
                <w:b/>
                <w:bCs/>
                <w:color w:val="637381"/>
                <w:sz w:val="17"/>
                <w:szCs w:val="17"/>
              </w:rPr>
              <w:t xml:space="preserve">Part des foyers allocataires à bas quotient familial (%)</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Saint Henri</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600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1 350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65,8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23,7</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Viste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1 240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2 950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67,7</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29,4</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Château Saint Loup</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1 055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62,8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26,5</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Capelette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740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1 370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17,6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64,9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29,6</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Centre Ville 1er et 2e Arrondissements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15 035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24 930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31,6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64,4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38,3</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Canet Arnavaux Jean Jaurès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3 105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7 885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66,8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29,3</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Centre Ville 3e Arrondissement</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19 085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38 570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65,9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32,6</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Cravache Le Trioulet</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515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1 160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40,8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60,2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26,9</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Cayolle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725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1 710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22,8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54,5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27,5</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Sauvagère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705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1 710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63,1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24,2</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Benza</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445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1 095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40,5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49,4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24,1</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Saint Thys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525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1 280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25,7</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70,5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25,5</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Air Bel</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1 545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3 755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58,6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29,2</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Rouguière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660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1 445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66,7</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27,6</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Valbarelle Néréïdes Bosquet</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715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1 615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69,2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28,8</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Les Escourtines *</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210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610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38,1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66,7</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31,7</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Malpassé Corot</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3 030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7 095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34,7</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68,5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29,5</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Balustres Cerisaie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555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1 335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70,3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28,2</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Frais Vallon</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1 470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3 485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70,1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30,4</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Le Clos La Rose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1 875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4 285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31,5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69,9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29,2</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Le Petit Séminaire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325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69,2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28,6</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Marie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490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1 065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31,6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70,4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28,0</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Les Olives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420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855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64,3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32,5</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Simiane La Paternelle Vieux Moulin</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985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2 695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57,4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30,0</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Saint Gabriel Bon Secours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2 655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6 795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71,4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29,0</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Saint Jérôme Les Tilleuls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1 670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3 430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76,1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32,0</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Grand Saint Barthélémy</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3 790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9 440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67,9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30,2</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Le Castellas Les Micocouliers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1 055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2 535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65,9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26,5</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Castellane La Bricarde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1 970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5 020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65,2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28,5</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Plan d'Aou Saint Antoine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650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1 530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24,6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57,7</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27,4</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Consolat Ruisseau Mirabeau</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1 565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3 770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59,4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28,7</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Saint Louis Campagne Lévêque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2 190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4 870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35,2</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60,3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27,3</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Les Aygalades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545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1 280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30,3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68,8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25,7</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Kalliste La Granière La Solidarité</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1 825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4 930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67,4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28,9</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Savine Bosphore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895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2 145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58,1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27,1</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Les Tilleuls La Maurelette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560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1 600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36,6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32,7</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Cap Janet La Cabucelle Les Crottes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5 085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10 640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35,1</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65,6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28,8</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Visitation - Bassens</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510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1 305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28,4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31,4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49,0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29,9</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Saint André</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525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1 180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32,4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53,3</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23,0</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La Soude Bengale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815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1 885</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20,9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39,9</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63,8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25,3</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Caillols La Moularde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620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1 230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21,8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34,7</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68,6</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25,0</w:t>
            </w:r>
          </w:p>
        </w:tc>
      </w:tr>
      <w:tr>
        <w:trPr>
          <w:cantSplit/>
        </w:trPr>
        <w:tc>
          <w:tcPr>
            <w:tcW w:type="pct" w:w="14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left"/>
            </w:pPr>
            <w:r>
              <w:rPr>
                <w:rFonts w:ascii="Calibri" w:cs="Calibri" w:eastAsia="Calibri" w:hAnsi="Calibri"/>
                <w:b w:val="false"/>
                <w:bCs w:val="false"/>
                <w:color w:val="1C252E"/>
                <w:sz w:val="17"/>
                <w:szCs w:val="17"/>
              </w:rPr>
              <w:t xml:space="preserve">Ensemble de Marseille</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bCs/>
                <w:color w:val="0C4349"/>
                <w:sz w:val="17"/>
                <w:szCs w:val="17"/>
              </w:rPr>
              <w:t xml:space="preserve">232 050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499 530</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18,7</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33,8</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53,4</w:t>
            </w:r>
          </w:p>
        </w:tc>
        <w:tc>
          <w:tcPr>
            <w:tcW w:type="pct" w:w="600"/>
            <w:tcBorders>
              <w:top w:val="single" w:color="DFE3E8" w:sz="4"/>
              <w:left w:val="none" w:color="FFFFFF" w:sz="0"/>
              <w:bottom w:val="single" w:color="DFE3E8" w:sz="4"/>
              <w:right w:val="none" w:color="FFFFFF" w:sz="0"/>
            </w:tcBorders>
            <w:tcMar>
              <w:top w:type="dxa" w:w="60"/>
              <w:left w:type="dxa" w:w="80"/>
              <w:bottom w:type="dxa" w:w="60"/>
              <w:right w:type="dxa" w:w="80"/>
            </w:tcMar>
          </w:tcPr>
          <w:p>
            <w:pPr>
              <w:jc w:val="right"/>
            </w:pPr>
            <w:r>
              <w:rPr>
                <w:rFonts w:ascii="Calibri" w:cs="Calibri" w:eastAsia="Calibri" w:hAnsi="Calibri"/>
                <w:b w:val="false"/>
                <w:bCs w:val="false"/>
                <w:color w:val="1C252E"/>
                <w:sz w:val="17"/>
                <w:szCs w:val="17"/>
              </w:rPr>
              <w:t xml:space="preserve">25,2</w:t>
            </w:r>
          </w:p>
        </w:tc>
      </w:tr>
    </w:tbl>
    <w:p>
      <w:pPr>
        <w:spacing w:after="120"/>
      </w:pPr>
      <w:r>
        <w:rPr>
          <w:rFonts w:ascii="Calibri" w:cs="Calibri" w:eastAsia="Calibri" w:hAnsi="Calibri"/>
          <w:color w:val="637381"/>
          <w:sz w:val="16"/>
          <w:szCs w:val="16"/>
        </w:rPr>
        <w:t xml:space="preserve">Source : Cnaf, data.caf.fr (QPV), décembre 2024. * Quartier à cheval sur plusieurs communes : seule la partie située dans la commune est comptée.</w:t>
      </w:r>
    </w:p>
    <w:p>
      <w:pPr>
        <w:pStyle w:val="Heading1"/>
        <w:spacing w:after="140" w:before="280"/>
      </w:pPr>
      <w:r>
        <w:rPr>
          <w:rFonts w:ascii="Calibri" w:cs="Calibri" w:eastAsia="Calibri" w:hAnsi="Calibri"/>
          <w:b/>
          <w:bCs/>
          <w:color w:val="0C4349"/>
          <w:sz w:val="30"/>
          <w:szCs w:val="30"/>
        </w:rPr>
        <w:t xml:space="preserve">Sources et méthode</w:t>
      </w:r>
    </w:p>
    <w:p>
      <w:pPr>
        <w:spacing w:after="60"/>
      </w:pPr>
      <w:r>
        <w:rPr>
          <w:rFonts w:ascii="Calibri" w:cs="Calibri" w:eastAsia="Calibri" w:hAnsi="Calibri"/>
          <w:sz w:val="17"/>
          <w:szCs w:val="17"/>
        </w:rPr>
        <w:t xml:space="preserve">API Découpage administratif — COG en vigueur à la date de téléchargement ; populations municipales 2023. Licence Ouverte 2.0 (Etalab).</w:t>
      </w:r>
    </w:p>
    <w:p>
      <w:pPr>
        <w:spacing w:after="60"/>
      </w:pPr>
      <w:r>
        <w:rPr>
          <w:rFonts w:ascii="Calibri" w:cs="Calibri" w:eastAsia="Calibri" w:hAnsi="Calibri"/>
          <w:sz w:val="17"/>
          <w:szCs w:val="17"/>
        </w:rPr>
        <w:t xml:space="preserve">INSEE, Base du dossier complet — RP 2023 (exploitations principale et complémentaire), géographie au 01/01/2026 ; évolutions : RP 2012 et 2017 ; séries longues aux neuf recensements de 1968 à 2023 (population, résidences principales et population des ménages, logements par catégorie, naissances et décès entre deux recensements). Licence Ouverte 2.0 (Etalab).</w:t>
      </w:r>
    </w:p>
    <w:p>
      <w:pPr>
        <w:spacing w:after="60"/>
      </w:pPr>
      <w:r>
        <w:rPr>
          <w:rFonts w:ascii="Calibri" w:cs="Calibri" w:eastAsia="Calibri" w:hAnsi="Calibri"/>
          <w:sz w:val="17"/>
          <w:szCs w:val="17"/>
        </w:rPr>
        <w:t xml:space="preserve">INSEE, Base permanente des équipements (via la Base du dossier complet) — BPE 2025. Licence Ouverte 2.0 (Etalab).</w:t>
      </w:r>
    </w:p>
    <w:p>
      <w:pPr>
        <w:spacing w:after="60"/>
      </w:pPr>
      <w:r>
        <w:rPr>
          <w:rFonts w:ascii="Calibri" w:cs="Calibri" w:eastAsia="Calibri" w:hAnsi="Calibri"/>
          <w:sz w:val="17"/>
          <w:szCs w:val="17"/>
        </w:rPr>
        <w:t xml:space="preserve">INSEE, Filosofi (Fichier localisé social et fiscal) — 2023 (non comparable aux millésimes 2012-2021 : rupture de série). Licence Ouverte 2.0 (Etalab).</w:t>
      </w:r>
    </w:p>
    <w:p>
      <w:pPr>
        <w:spacing w:after="60"/>
      </w:pPr>
      <w:r>
        <w:rPr>
          <w:rFonts w:ascii="Calibri" w:cs="Calibri" w:eastAsia="Calibri" w:hAnsi="Calibri"/>
          <w:sz w:val="17"/>
          <w:szCs w:val="17"/>
        </w:rPr>
        <w:t xml:space="preserve">INSEE, Projections de population 2018-2070 (Omphale 2022), scénario central — Projections 2018-2070, base recensement 2018. Licence Ouverte 2.0 (Etalab).</w:t>
      </w:r>
    </w:p>
    <w:p>
      <w:pPr>
        <w:spacing w:after="60"/>
      </w:pPr>
      <w:r>
        <w:rPr>
          <w:rFonts w:ascii="Calibri" w:cs="Calibri" w:eastAsia="Calibri" w:hAnsi="Calibri"/>
          <w:sz w:val="17"/>
          <w:szCs w:val="17"/>
        </w:rPr>
        <w:t xml:space="preserve">DREES, Accessibilité potentielle localisée (APL) aux médecins généralistes — 2024 ; évolutions : 2022 et 2023. Licence Ouverte 2.0 (Etalab).</w:t>
      </w:r>
    </w:p>
    <w:p>
      <w:pPr>
        <w:spacing w:after="60"/>
      </w:pPr>
      <w:r>
        <w:rPr>
          <w:rFonts w:ascii="Calibri" w:cs="Calibri" w:eastAsia="Calibri" w:hAnsi="Calibri"/>
          <w:sz w:val="17"/>
          <w:szCs w:val="17"/>
        </w:rPr>
        <w:t xml:space="preserve">FINESS, Fichier national des établissements sanitaires et sociaux — mai 2026. Licence Ouverte 2.0 (Etalab).</w:t>
      </w:r>
    </w:p>
    <w:p>
      <w:pPr>
        <w:spacing w:after="60"/>
      </w:pPr>
      <w:r>
        <w:rPr>
          <w:rFonts w:ascii="Calibri" w:cs="Calibri" w:eastAsia="Calibri" w:hAnsi="Calibri"/>
          <w:sz w:val="17"/>
          <w:szCs w:val="17"/>
        </w:rPr>
        <w:t xml:space="preserve">Cnaf, Allocataires des Caf par prestation (data.caf.fr) — Décembre 2024 (effectifs arrondis à 5) ; évolutions : décembre 2020 à 2023. Licence Ouverte 2.0 (Etalab).</w:t>
      </w:r>
    </w:p>
    <w:p>
      <w:pPr>
        <w:spacing w:after="60"/>
      </w:pPr>
      <w:r>
        <w:rPr>
          <w:rFonts w:ascii="Calibri" w:cs="Calibri" w:eastAsia="Calibri" w:hAnsi="Calibri"/>
          <w:sz w:val="17"/>
          <w:szCs w:val="17"/>
        </w:rPr>
        <w:t xml:space="preserve">Dares / France Travail, Inscrits à France Travail — données communales — 4e trimestre 2024 (moyenne trimestrielle, données brutes arrondies à 5) ; évolutions : 4es trimestres depuis 2015. Licence Ouverte 2.0 (Etalab).</w:t>
      </w:r>
    </w:p>
    <w:p>
      <w:pPr>
        <w:spacing w:after="60"/>
      </w:pPr>
      <w:r>
        <w:rPr>
          <w:rFonts w:ascii="Calibri" w:cs="Calibri" w:eastAsia="Calibri" w:hAnsi="Calibri"/>
          <w:sz w:val="17"/>
          <w:szCs w:val="17"/>
        </w:rPr>
        <w:t xml:space="preserve">INSEE, Recensement de la population — bases infracommunales (IRIS) — RP 2022, géographie au 01/01/2024 ; évolutions : RP 2017. Licence Ouverte 2.0 (Etalab).</w:t>
      </w:r>
    </w:p>
    <w:p>
      <w:pPr>
        <w:spacing w:after="60"/>
      </w:pPr>
      <w:r>
        <w:rPr>
          <w:rFonts w:ascii="Calibri" w:cs="Calibri" w:eastAsia="Calibri" w:hAnsi="Calibri"/>
          <w:sz w:val="17"/>
          <w:szCs w:val="17"/>
        </w:rPr>
        <w:t xml:space="preserve">INSEE, Filosofi — revenus disponibles par IRIS — 2021 (ancienne série : non comparable aux valeurs communales 2023). Licence Ouverte 2.0 (Etalab).</w:t>
      </w:r>
    </w:p>
    <w:p>
      <w:pPr>
        <w:spacing w:after="60"/>
      </w:pPr>
      <w:r>
        <w:rPr>
          <w:rFonts w:ascii="Calibri" w:cs="Calibri" w:eastAsia="Calibri" w:hAnsi="Calibri"/>
          <w:sz w:val="17"/>
          <w:szCs w:val="17"/>
        </w:rPr>
        <w:t xml:space="preserve">Cnaf, Allocataires des Caf par IRIS (data.caf.fr) — Décembre 2024 (effectifs arrondis à 5). Licence Ouverte 2.0 (Etalab).</w:t>
      </w:r>
    </w:p>
    <w:p>
      <w:pPr>
        <w:spacing w:after="60"/>
      </w:pPr>
      <w:r>
        <w:rPr>
          <w:rFonts w:ascii="Calibri" w:cs="Calibri" w:eastAsia="Calibri" w:hAnsi="Calibri"/>
          <w:sz w:val="17"/>
          <w:szCs w:val="17"/>
        </w:rPr>
        <w:t xml:space="preserve">Cnaf, Allocataires des Caf par quartier prioritaire (data.caf.fr) — Décembre 2024, quartiers prioritaires 2024. Licence Ouverte 2.0 (Etalab).</w:t>
      </w:r>
    </w:p>
    <w:p>
      <w:pPr>
        <w:spacing w:after="60"/>
      </w:pPr>
      <w:r>
        <w:rPr>
          <w:rFonts w:ascii="Calibri" w:cs="Calibri" w:eastAsia="Calibri" w:hAnsi="Calibri"/>
          <w:sz w:val="17"/>
          <w:szCs w:val="17"/>
        </w:rPr>
        <w:t xml:space="preserve">Cnaf, Allocataires selon le quotient familial (data.caf.fr) — Décembre 2024 (effectifs arrondis à 5). Licence Ouverte 2.0 (Etalab).</w:t>
      </w:r>
    </w:p>
    <w:p>
      <w:pPr>
        <w:spacing w:after="60"/>
      </w:pPr>
      <w:r>
        <w:rPr>
          <w:rFonts w:ascii="Calibri" w:cs="Calibri" w:eastAsia="Calibri" w:hAnsi="Calibri"/>
          <w:sz w:val="17"/>
          <w:szCs w:val="17"/>
        </w:rPr>
        <w:t xml:space="preserve">Cnaf, Taux de couverture de l'accueil du jeune enfant (data.caf.fr) — 2023. Licence Ouverte 2.0 (Etalab).</w:t>
      </w:r>
    </w:p>
    <w:p>
      <w:pPr>
        <w:spacing w:after="60"/>
      </w:pPr>
      <w:r>
        <w:rPr>
          <w:rFonts w:ascii="Calibri" w:cs="Calibri" w:eastAsia="Calibri" w:hAnsi="Calibri"/>
          <w:sz w:val="17"/>
          <w:szCs w:val="17"/>
        </w:rPr>
        <w:t xml:space="preserve">Cnaf, Allocataires de l'AAH par département (data.caf.fr) — Décembre 2024. Licence Ouverte 2.0 (Etalab).</w:t>
      </w:r>
    </w:p>
    <w:p>
      <w:pPr>
        <w:spacing w:after="60"/>
      </w:pPr>
      <w:r>
        <w:rPr>
          <w:rFonts w:ascii="Calibri" w:cs="Calibri" w:eastAsia="Calibri" w:hAnsi="Calibri"/>
          <w:sz w:val="17"/>
          <w:szCs w:val="17"/>
        </w:rPr>
        <w:t xml:space="preserve">ANCT, Périmètres des quartiers prioritaires de la politique de la ville 2024 — 2024. Licence Ouverte 2.0 (Etalab).</w:t>
      </w:r>
    </w:p>
    <w:p>
      <w:pPr>
        <w:spacing w:after="60"/>
      </w:pPr>
      <w:r>
        <w:rPr>
          <w:rFonts w:ascii="Calibri" w:cs="Calibri" w:eastAsia="Calibri" w:hAnsi="Calibri"/>
          <w:sz w:val="17"/>
          <w:szCs w:val="17"/>
        </w:rPr>
        <w:t xml:space="preserve">INSEE / IGN, Contours IRIS (via Opendatasoft, georef-france-iris) — 2024. Licence Ouverte 2.0 (Etalab).</w:t>
      </w:r>
    </w:p>
    <w:p>
      <w:pPr>
        <w:spacing w:after="120"/>
      </w:pPr>
      <w:r>
        <w:rPr>
          <w:rFonts w:ascii="Calibri" w:cs="Calibri" w:eastAsia="Calibri" w:hAnsi="Calibri"/>
          <w:color w:val="637381"/>
          <w:sz w:val="17"/>
          <w:szCs w:val="17"/>
        </w:rPr>
        <w:t xml:space="preserve">Aucune donnée n'est estimée ni extrapolée : une valeur non diffusée ou couverte par le secret statistique est signalée comme telle. Les millésimes diffèrent selon les sources. Position : écart relatif à la valeur départementale.</w:t>
      </w:r>
    </w:p>
    <w:sectPr>
      <w:footerReference w:type="default" r:id="rId6"/>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color w:val="637381"/>
        <w:sz w:val="15"/>
        <w:szCs w:val="15"/>
      </w:rPr>
      <w:t xml:space="preserve">Portrait social de territoire — Marseille — document de travail — </w:t>
    </w:r>
    <w:r>
      <w:rPr>
        <w:rFonts w:ascii="Calibri" w:cs="Calibri" w:eastAsia="Calibri" w:hAnsi="Calibri"/>
        <w:color w:val="637381"/>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Portrait social — Marseille</dc:title>
  <dc:creator>Portrait social de territoire — CMI</dc:creator>
  <cp:lastModifiedBy>Un-named</cp:lastModifiedBy>
  <cp:revision>1</cp:revision>
  <dcterms:created xsi:type="dcterms:W3CDTF">2026-11-03T13:01:24.442Z</dcterms:created>
  <dcterms:modified xsi:type="dcterms:W3CDTF">2026-11-03T13:01:24.442Z</dcterms:modified>
</cp:coreProperties>
</file>

<file path=docProps/custom.xml><?xml version="1.0" encoding="utf-8"?>
<Properties xmlns="http://schemas.openxmlformats.org/officeDocument/2006/custom-properties" xmlns:vt="http://schemas.openxmlformats.org/officeDocument/2006/docPropsVTypes"/>
</file>