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96F79"/>
          <w:sz w:val="18"/>
          <w:szCs w:val="18"/>
        </w:rPr>
        <w:t xml:space="preserve">PORTRAIT SOCIAL DE TERRITOIRE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C4349"/>
          <w:sz w:val="56"/>
          <w:szCs w:val="56"/>
        </w:rPr>
        <w:t xml:space="preserve">Vitrolles</w:t>
      </w:r>
    </w:p>
    <w:p>
      <w:pPr>
        <w:spacing w:after="120"/>
      </w:pPr>
      <w:r>
        <w:rPr>
          <w:rFonts w:ascii="Calibri" w:cs="Calibri" w:eastAsia="Calibri" w:hAnsi="Calibri"/>
          <w:color w:val="637381"/>
        </w:rPr>
        <w:t xml:space="preserve">36 758 habitants (2023) · Métropole d'Aix-Marseille-Provence · Bouches-du-Rhône · Provence-Alpes-Côte d'Azur</w:t>
      </w:r>
    </w:p>
    <w:p>
      <w:pPr>
        <w:spacing w:after="240"/>
      </w:pPr>
      <w:r>
        <w:rPr>
          <w:rFonts w:ascii="Calibri" w:cs="Calibri" w:eastAsia="Calibri" w:hAnsi="Calibri"/>
          <w:color w:val="C8A96E"/>
          <w:sz w:val="18"/>
          <w:szCs w:val="18"/>
        </w:rPr>
        <w:t xml:space="preserve">CMI, Pôle public — document de travail établi le 2 novembre 2026.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Points d'attention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8"/>
          <w:szCs w:val="18"/>
        </w:rPr>
        <w:t xml:space="preserve">Indicateurs pour lesquels l'écart défavorable à la valeur départementale est le plus marqué (calcul automatique, sans IA).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Accessibilité aux médecins généralistes (APL) : </w:t>
      </w:r>
      <w:r>
        <w:rPr>
          <w:rFonts w:ascii="Calibri" w:cs="Calibri" w:eastAsia="Calibri" w:hAnsi="Calibri"/>
          <w:sz w:val="20"/>
          <w:szCs w:val="20"/>
        </w:rPr>
        <w:t xml:space="preserve">3,3 consultations par hab. et par an, contre 4,6 consultations par hab. et par an dans le département (−28,3 %). </w:t>
      </w:r>
      <w:r>
        <w:rPr>
          <w:rFonts w:ascii="Calibri" w:cs="Calibri" w:eastAsia="Calibri" w:hAnsi="Calibri"/>
          <w:color w:val="637381"/>
          <w:sz w:val="17"/>
          <w:szCs w:val="17"/>
        </w:rPr>
        <w:t xml:space="preserve">DREES, APL, 2024.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Taux de chômage des 15-64 ans (au sens du recensement) : </w:t>
      </w:r>
      <w:r>
        <w:rPr>
          <w:rFonts w:ascii="Calibri" w:cs="Calibri" w:eastAsia="Calibri" w:hAnsi="Calibri"/>
          <w:sz w:val="20"/>
          <w:szCs w:val="20"/>
        </w:rPr>
        <w:t xml:space="preserve">13,2 %, contre 11,6 % dans le département (+1,6 pt). </w:t>
      </w:r>
      <w:r>
        <w:rPr>
          <w:rFonts w:ascii="Calibri" w:cs="Calibri" w:eastAsia="Calibri" w:hAnsi="Calibri"/>
          <w:color w:val="637381"/>
          <w:sz w:val="17"/>
          <w:szCs w:val="17"/>
        </w:rPr>
        <w:t xml:space="preserve">INSEE, Recensement de la population, 2023.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Part des familles monoparentales : </w:t>
      </w:r>
      <w:r>
        <w:rPr>
          <w:rFonts w:ascii="Calibri" w:cs="Calibri" w:eastAsia="Calibri" w:hAnsi="Calibri"/>
          <w:sz w:val="20"/>
          <w:szCs w:val="20"/>
        </w:rPr>
        <w:t xml:space="preserve">23,5 %, contre 20,8 % dans le département (+2,7 pts). </w:t>
      </w:r>
      <w:r>
        <w:rPr>
          <w:rFonts w:ascii="Calibri" w:cs="Calibri" w:eastAsia="Calibri" w:hAnsi="Calibri"/>
          <w:color w:val="637381"/>
          <w:sz w:val="17"/>
          <w:szCs w:val="17"/>
        </w:rPr>
        <w:t xml:space="preserve">INSEE, Recensement de la population, 2023.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Part des non-diplômés parmi les 15 ans ou plus non scolarisés : </w:t>
      </w:r>
      <w:r>
        <w:rPr>
          <w:rFonts w:ascii="Calibri" w:cs="Calibri" w:eastAsia="Calibri" w:hAnsi="Calibri"/>
          <w:sz w:val="20"/>
          <w:szCs w:val="20"/>
        </w:rPr>
        <w:t xml:space="preserve">22,3 %, contre 19,8 % dans le département (+2,5 pts). </w:t>
      </w:r>
      <w:r>
        <w:rPr>
          <w:rFonts w:ascii="Calibri" w:cs="Calibri" w:eastAsia="Calibri" w:hAnsi="Calibri"/>
          <w:color w:val="637381"/>
          <w:sz w:val="17"/>
          <w:szCs w:val="17"/>
        </w:rPr>
        <w:t xml:space="preserve">INSEE, Recensement de la population, 2023.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Taux de chômage des 15-24 ans (au sens du recensement) : </w:t>
      </w:r>
      <w:r>
        <w:rPr>
          <w:rFonts w:ascii="Calibri" w:cs="Calibri" w:eastAsia="Calibri" w:hAnsi="Calibri"/>
          <w:sz w:val="20"/>
          <w:szCs w:val="20"/>
        </w:rPr>
        <w:t xml:space="preserve">25,6 %, contre 22,9 % dans le département (+2,7 pts). </w:t>
      </w:r>
      <w:r>
        <w:rPr>
          <w:rFonts w:ascii="Calibri" w:cs="Calibri" w:eastAsia="Calibri" w:hAnsi="Calibri"/>
          <w:color w:val="637381"/>
          <w:sz w:val="17"/>
          <w:szCs w:val="17"/>
        </w:rPr>
        <w:t xml:space="preserve">INSEE, Recensement de la population, 2023.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Commentaire de synthèse</w:t>
      </w:r>
    </w:p>
    <w:p>
      <w:pPr>
        <w:spacing w:after="160"/>
      </w:pPr>
      <w:r>
        <w:rPr>
          <w:rFonts w:ascii="Calibri" w:cs="Calibri" w:eastAsia="Calibri" w:hAnsi="Calibri"/>
        </w:rPr>
        <w:t xml:space="preserve">Vitrolles, commune de la Métropole d'Aix-Marseille-Provence, compte 36 758 habitants au recensement 2023. Sa population a progressé de 1,66 % par an entre 2017 et 2023, contre 0,52 % par an dans le département et 0,39 % par an en France. Les moins de 20 ans y représentent 26,5 % des habitants, contre 22,9 % dans le département et 23,2 % en France. Les indicateurs ci-dessous proviennent de sources aux millésimes différents (recensement 2023, Caf en décembre 2024, équipements 2025).</w:t>
      </w:r>
    </w:p>
    <w:p>
      <w:pPr>
        <w:spacing w:after="160"/>
      </w:pPr>
      <w:r>
        <w:rPr>
          <w:rFonts w:ascii="Calibri" w:cs="Calibri" w:eastAsia="Calibri" w:hAnsi="Calibri"/>
        </w:rPr>
        <w:t xml:space="preserve">Emploi : le taux de chômage des 15-64 ans au sens du recensement atteint 13,2 % en 2023, contre 11,6 % dans le département et 11,4 % en France. Au quatrième trimestre 2024, les demandeurs d'emploi inscrits (catégories A, B, C) représentent 15,3 pour 100 habitants de 15 à 64 ans, contre 14,9 pour 100 dans le département et 13,2 pour 100 en France. Cette dernière valeur reste proche de la référence départementale.</w:t>
      </w:r>
    </w:p>
    <w:p>
      <w:pPr>
        <w:spacing w:after="160"/>
      </w:pPr>
      <w:r>
        <w:rPr>
          <w:rFonts w:ascii="Calibri" w:cs="Calibri" w:eastAsia="Calibri" w:hAnsi="Calibri"/>
        </w:rPr>
        <w:t xml:space="preserve">Familles monoparentales : elles représentent 23,5 % des familles en 2023, contre 20,8 % dans le département et 17,5 % en France. En décembre 2024, 16,9 % de la population est couverte par la prime d'activité, contre 14,8 % dans le département et 13,1 % en France. Le niveau de vie médian, 24 670 € par an en 2023, reste proche de celui du département (25 610 €) et de la France métropolitaine (25 920 €).</w:t>
      </w:r>
    </w:p>
    <w:p>
      <w:pPr>
        <w:spacing w:after="160"/>
      </w:pPr>
      <w:r>
        <w:rPr>
          <w:rFonts w:ascii="Calibri" w:cs="Calibri" w:eastAsia="Calibri" w:hAnsi="Calibri"/>
        </w:rPr>
        <w:t xml:space="preserve">Accès aux médecins généralistes : la commune compte 11,4 médecins généralistes pour 10 000 habitants (équipements 2025, population 2023), contre 12,8 dans le département, soit un écart de −10,6 %, défavorable. Elle se situe en revanche au-dessus de la valeur nationale, de 9,0 pour 10 000 habitants.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  <w:sz w:val="17"/>
          <w:szCs w:val="17"/>
        </w:rPr>
        <w:t xml:space="preserve">Texte généré automatiquement à partir des indicateurs du portrait — à relire. Contrôle automatique : les 49 nombres cités figurent dans la base.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Cinq enjeux prioritaires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  <w:sz w:val="17"/>
          <w:szCs w:val="17"/>
        </w:rPr>
        <w:t xml:space="preserve">Hiérarchisation et questions proposées par une IA à partir des indicateurs du portrait — à valider par le consultant.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1. Accessibilité aux soins de premier recours</w:t>
      </w:r>
    </w:p>
    <w:p>
      <w:pPr>
        <w:spacing w:after="40"/>
      </w:pPr>
      <w:r>
        <w:rPr>
          <w:rFonts w:ascii="Calibri" w:cs="Calibri" w:eastAsia="Calibri" w:hAnsi="Calibri"/>
        </w:rPr>
        <w:t xml:space="preserve">L'accessibilité aux médecins généralistes (APL) est de 3,3 consultations par hab. et par an contre 4,6 dans le département. Les infirmiers libéraux sont à 15,8 pour 10 000 habitants contre 27,6 dans le département, et les médecins généralistes à 11,4 contre 12,8.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Comment le conseil analyse-t-il les difficultés d'accès aux soins de proximité des habitants, et quels publics lui paraissent les plus concernés ?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2. Chômage des 15-64 ans supérieur au département</w:t>
      </w:r>
    </w:p>
    <w:p>
      <w:pPr>
        <w:spacing w:after="40"/>
      </w:pPr>
      <w:r>
        <w:rPr>
          <w:rFonts w:ascii="Calibri" w:cs="Calibri" w:eastAsia="Calibri" w:hAnsi="Calibri"/>
        </w:rPr>
        <w:t xml:space="preserve">Le taux de chômage des 15-64 ans (au sens du recensement) atteint 13,2 % contre 11,6 % dans le département et 11,4 % en France. Le taux d'emploi, à 64,3 %, reste proche de celui du département (63,9 %).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Quels éléments de connaissance manquent au conseil pour comprendre la situation des habitants privés d'emploi et leur rapport aux services du CCAS ?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3. Part élevée de familles monoparentales</w:t>
      </w:r>
    </w:p>
    <w:p>
      <w:pPr>
        <w:spacing w:after="40"/>
      </w:pPr>
      <w:r>
        <w:rPr>
          <w:rFonts w:ascii="Calibri" w:cs="Calibri" w:eastAsia="Calibri" w:hAnsi="Calibri"/>
        </w:rPr>
        <w:t xml:space="preserve">Les familles monoparentales représentent 23,5 % des familles contre 20,8 % dans le département et 17,5 % en France. Les familles de trois enfants ou plus pèsent 11,8 % contre 8,8 % dans le département.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Quelles situations de vie des familles monoparentales le CCAS repère-t-il aujourd'hui, et lesquelles lui échappent-elles éventuellement ?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4. Jeunes : chômage et faible qualification</w:t>
      </w:r>
    </w:p>
    <w:p>
      <w:pPr>
        <w:spacing w:after="40"/>
      </w:pPr>
      <w:r>
        <w:rPr>
          <w:rFonts w:ascii="Calibri" w:cs="Calibri" w:eastAsia="Calibri" w:hAnsi="Calibri"/>
        </w:rPr>
        <w:t xml:space="preserve">Le chômage des 15-24 ans atteint 25,6 % contre 22,9 % dans le département. Les non-diplômés représentent 22,3 % des 15 ans ou plus non scolarisés contre 19,8 %, et la scolarisation des 18-24 ans est de 44,6 % contre 56,3 %.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Comment le conseil appréhende-t-il la situation des jeunes adultes de la commune entre études, emploi et absence de qualification ?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5. Croissance estimée des 80 ans ou plus</w:t>
      </w:r>
    </w:p>
    <w:p>
      <w:pPr>
        <w:spacing w:after="40"/>
      </w:pPr>
      <w:r>
        <w:rPr>
          <w:rFonts w:ascii="Calibri" w:cs="Calibri" w:eastAsia="Calibri" w:hAnsi="Calibri"/>
        </w:rPr>
        <w:t xml:space="preserve">Les 80 ans ou plus seraient 2 296 en 2031 (estimation) puis 2 665 en 2040 (estimation), contre 1 742 en 2022. L'équipement en EHPAD est de 1,18 pour 1 000 habitants de 80 ans ou plus contre 1,45 dans le département.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Quelles évolutions des besoins des personnes très âgées le conseil juge-t-il utile d'anticiper, alors que la population communale est aujourd'hui plus jeune que celle du département ?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Démographie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Vitrolles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Population municipale (hab.)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36 758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+10,4 %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Évolution annuelle moyenne de la population (% par an)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0,5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0,4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+1,1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moins de 20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26,5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23,2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+3,6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−0,3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65 ans ou plus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18,4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21,2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−2,9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+0,7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80 ans ou plus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−1,7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+0,4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Indice de vieillissement (pour 100)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69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−25,3 %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+5,3 % depuis 2017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 ; INSEE, Recensement de la population (2017-2023).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Ménages et familles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Vitrolles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Taille moyenne des ménages (pers.)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2,37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2,13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2,14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+11,5 %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−3,3 %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ménages d'une seule personne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32,4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40,1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39,1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−7,7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+3,5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80 ans ou plus vivant seuls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41,4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47,8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48,4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−6,5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−10,8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65 ans ou plus vivant seuls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31,3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35,9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34,4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−4,7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+0,8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familles monoparentales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23,5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17,5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+2,7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+3,1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familles de trois enfants ou plus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11,8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8,8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8,9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+3,0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+0,9 pt depuis 2017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Jeunesse et 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Vitrolles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15-24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11,7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12,0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−0,3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−0,3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scolarisation des 18-24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44,6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56,3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51,6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−11,7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−4,2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chômage des 15-24 ans (au sens du recensement)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25,6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+2,7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−5,9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non-diplômés parmi les 15 ans ou plus non scolarisés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22,3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+2,5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−2,5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diplômés de l'enseignement supérieur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31,0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36,6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34,0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−5,6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+5,4 pts depuis 2017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Revenus et pauvreté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Vitrolles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Niveau de vie médian (€ par an)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24 670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25 610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25 920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−3,7 %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pauvreté (seuil de 60 %)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19,6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−0,7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Rapport interdécile (D9/D1)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Indisponible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4,0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Filosofi (2023).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Données absentes — Rapport interdécile (D9/D1) : Non diffusé à ce niveau géographique par le producteur.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Prestations sociales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Vitrolles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Foyers allocataires de la Caf (foyers)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7 790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−3,7 % depuis 2020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 la population couverte par la Caf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54,8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50,8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47,1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+4,0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foyers allocataires à bas quotient familial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16,9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21,2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18,5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−4,4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Foyers allocataires du RSA (foyers)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1 085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−15,6 % depuis 2020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 la population couverte par le RSA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−0,3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Bénéficiaires de l'AAH pour 100 habitants de 20 à 64 ans (pour 100)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Indisponible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3,2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Foyers allocataires de la prime d'activité (foyers)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3 005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+0,2 % depuis 2020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 la population couverte par la prime d'activité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16,9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+2,1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Foyers allocataires d'une aide au logement (foyers)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2 885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−18,5 % depuis 2020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 la population couverte par une aide au logement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20,1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16,0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−0,1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Cnaf, data.caf.fr (décembre 2024) ; Cnaf, data.caf.fr (décembre 2024 (population 2023)) ; Cnaf, data.caf.fr (quotient familial) (décembre 2024) ; Cnaf, data.caf.fr (AAH) (décembre 2024 (population 2023)).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Données absentes — Bénéficiaires de l'AAH pour 100 habitants de 20 à 64 ans : Non diffusé à ce niveau géographique par le producteur.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Emploi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Vitrolles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chômage des 15-64 ans (au sens du recensement)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13,2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+1,6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−1,8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d'activité des 15-64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74,0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72,3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75,6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+1,7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+2,7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d'emploi des 15-64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64,3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63,9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66,9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+0,3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+3,6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salariés en contrat court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12,8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−1,9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+0,3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salariés à temps partiel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15,6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15,4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+0,2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−2,3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ouvriers et employés parmi les 15 ans ou plus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28,1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24,0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26,6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+4,2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−3,3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Demandeurs d'emploi inscrits (catégories A, B, C) (inscrits)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3 465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−6,6 % depuis 2019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Demandeurs d'emploi (A, B, C) pour 100 habitants de 15 à 64 ans (pour 100)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15,3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+0,4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moins de 25 ans parmi les demandeurs d'emploi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13,7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+1,2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−1,0 pt depuis 2019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50 ans ou plus parmi les demandeurs d'emploi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27,4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26,6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27,0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+0,8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+2,1 pts depuis 2019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 ; Dares, France Travail (STMT) (4e trimestre 2024) ; Dares, France Travail (STMT) (4e trimestre 2024 (population 2023)).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Logement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Vitrolles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ménages locataires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41,1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46,7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40,3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−5,6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−0,8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ménages locataires du parc social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25,8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+10,7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−2,9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résidences principales suroccupées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−5,5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−1,3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logements vacants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−2,2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−0,8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ménages sans voiture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10,9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18,8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−10,2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−1,1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habitants arrivés d'une autre commune depuis moins d'un an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−0,1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+0,2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Logements locatifs sociaux (RPLS) (logements)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Indisponible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(2023).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Données absentes — Logements locatifs sociaux (RPLS) : Source RPLS non intégrée au prototype (priorité 2) ; voir la part des ménages locataires du parc social.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Santé et accès aux services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Vitrolles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Médecins généralistes pour 10 000 habitants (pour 10 000 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11,4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−10,6 %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Accessibilité aux médecins généralistes (APL) (consultations par hab. et par an)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−28,3 %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−10,4 % depuis 2022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Infirmiers libéraux pour 10 000 habitants (pour 10 000 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15,8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27,6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−42,8 %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Chirurgiens-dentistes pour 10 000 habitants (pour 10 000 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9,2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+1,8 %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Pharmacies pour 10 000 habitants (pour 10 000 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+1,0 %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EHPAD pour 1 000 habitants de 80 ans ou plus (pour 1 000 hab. de 80 ans ou plus)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1,18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1,45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1,77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−18,8 %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couverture de l'accueil du jeune enfant (places pour 100 enfants)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49,6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50,6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60,9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−1,0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Enfants de moins de 3 ans (enfants)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1 390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Places d'accueil formel du jeune enfant (places)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724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Enfants de moins de 3 ans sans place d'accueil formel (estimation) (enfants)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666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Base permanente des équipements (2025 (population 2023)) ; DREES, APL (2024) ; FINESS (2026 (population 2023)) ; Cnaf, data.caf.fr (petite enfance) (2023) ; INSEE, Recensement (IRIS) (2022) ; Cnaf, data.caf.fr (petite enfance) (places 2023, enfants 2022).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Quartiers de Vitrolles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8"/>
          <w:szCs w:val="18"/>
        </w:rPr>
        <w:t xml:space="preserve">20 quartiers (IRIS). Les 15 premiers par taux de pauvreté ; la liste complète figure dans l'export Excel.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Quartier (IRIS)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Taux de pauvreté (seuil de 60 %) (%)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Taux de chômage des 15-64 ans (au sens du recensement) (%)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familles monoparentales (%)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 la population couverte par le RSA (%)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non-diplômés parmi les 15 ans ou plus non scolarisés (%)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Les Pins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49,0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30,4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42,7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17,5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45,8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Liourat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31,0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31,7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10,7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29,0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Les Pommiers-Bosquet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27,0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17,6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32,0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14,2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35,3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Hermès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21,0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10,3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26,9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8,9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24,6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La Tuilière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21,0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7,3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21,3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La Frescoule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19,0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17,5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25,1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8,2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La Plaine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17,0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15,2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Les Plantiers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15,0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10,1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31,1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25,0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La Ferme de Croze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12,0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18,6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3,6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17,2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L'Agneau-Vignette-La Gare-Couperigne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12,0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15,8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Le Village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11,0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21,6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19,8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Le Grenadier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9,6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22,3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16,3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Les Boues Rouges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8,0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1,6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Les Pinchinades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5,0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9,2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17,6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3,6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14,3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Ensemble de Vitrolles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—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23,1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22,5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Filosofi (IRIS) (2021) ; INSEE, Recensement (IRIS) (2022) ; Cnaf, data.caf.fr (IRIS) (décembre 2024 (population 2022)). Millésimes antérieurs à ceux du portrait communal.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24"/>
          <w:szCs w:val="24"/>
        </w:rPr>
        <w:t xml:space="preserve">Quartiers prioritaires de la politique de la ville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74"/>
        <w:gridCol w:w="1189"/>
        <w:gridCol w:w="1189"/>
        <w:gridCol w:w="1189"/>
        <w:gridCol w:w="1189"/>
        <w:gridCol w:w="1189"/>
        <w:gridCol w:w="1189"/>
      </w:tblGrid>
      <w:tr>
        <w:trPr>
          <w:tblHeader/>
        </w:trPr>
        <w:tc>
          <w:tcPr>
            <w:tcW w:type="pct" w:w="14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Quartier prioritaire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Foyers allocataires de la Caf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Personnes couvertes par la Caf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foyers allocataires percevant le RSA (%)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foyers allocataires percevant la prime d'activité (%)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foyers allocataires percevant une aide au logement (%)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foyers allocataires à bas quotient familial (%)</w:t>
            </w:r>
          </w:p>
        </w:tc>
      </w:tr>
      <w:tr>
        <w:trPr>
          <w:cantSplit/>
        </w:trPr>
        <w:tc>
          <w:tcPr>
            <w:tcW w:type="pct" w:w="14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Secteur Centre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2 070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5 050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20,3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40,3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64,3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22,5</w:t>
            </w:r>
          </w:p>
        </w:tc>
      </w:tr>
      <w:tr>
        <w:trPr>
          <w:cantSplit/>
        </w:trPr>
        <w:tc>
          <w:tcPr>
            <w:tcW w:type="pct" w:w="14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La Frescoule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405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1 100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19,8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44,4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59,3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20,3</w:t>
            </w:r>
          </w:p>
        </w:tc>
      </w:tr>
      <w:tr>
        <w:trPr>
          <w:cantSplit/>
        </w:trPr>
        <w:tc>
          <w:tcPr>
            <w:tcW w:type="pct" w:w="14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Ensemble de Vitrolles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7 790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20 145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13,9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38,6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37,0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16,9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 : Cnaf, data.caf.fr (QPV), décembre 2024. * Quartier à cheval sur plusieurs communes : seule la partie située dans la commune est comptée.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Sources et méthode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API Découpage administratif — COG en vigueur à la date de téléchargement ; populations municipales 2023.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Base du dossier complet — RP 2023 (exploitations principale et complémentaire), géographie au 01/01/2026 ; évolutions : RP 2012 et 2017 ; séries longues aux neuf recensements de 1968 à 2023 (population, résidences principales et population des ménages, logements par catégorie, naissances et décès entre deux recensements).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Base permanente des équipements (via la Base du dossier complet) — BPE 2025.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Filosofi (Fichier localisé social et fiscal) — 2023 (non comparable aux millésimes 2012-2021 : rupture de série).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Projections de population 2018-2070 (Omphale 2022), scénario central — Projections 2018-2070, base recensement 2018.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DREES, Accessibilité potentielle localisée (APL) aux médecins généralistes — 2024 ; évolutions : 2022 et 2023.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FINESS, Fichier national des établissements sanitaires et sociaux — mai 2026.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des Caf par prestation (data.caf.fr) — Décembre 2024 (effectifs arrondis à 5) ; évolutions : décembre 2020 à 2023.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Dares / France Travail, Inscrits à France Travail — données communales — 4e trimestre 2024 (moyenne trimestrielle, données brutes arrondies à 5) ; évolutions : 4es trimestres depuis 2015.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Recensement de la population — bases infracommunales (IRIS) — RP 2022, géographie au 01/01/2024 ; évolutions : RP 2017.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Filosofi — revenus disponibles par IRIS — 2021 (ancienne série : non comparable aux valeurs communales 2023).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des Caf par IRIS (data.caf.fr) — Décembre 2024 (effectifs arrondis à 5).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des Caf par quartier prioritaire (data.caf.fr) — Décembre 2024, quartiers prioritaires 2024.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selon le quotient familial (data.caf.fr) — Décembre 2024 (effectifs arrondis à 5).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Taux de couverture de l'accueil du jeune enfant (data.caf.fr) — 2023.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de l'AAH par département (data.caf.fr) — Décembre 2024.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ANCT, Périmètres des quartiers prioritaires de la politique de la ville 2024 — 2024.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 / IGN, Contours IRIS (via Opendatasoft, georef-france-iris) — 2024. Licence Ouverte 2.0 (Etalab).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7"/>
          <w:szCs w:val="17"/>
        </w:rPr>
        <w:t xml:space="preserve">Aucune donnée n'est estimée ni extrapolée : une valeur non diffusée ou couverte par le secret statistique est signalée comme telle. Les millésimes diffèrent selon les sources. Position : écart relatif à la valeur départementale.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37381"/>
        <w:sz w:val="15"/>
        <w:szCs w:val="15"/>
      </w:rPr>
      <w:t xml:space="preserve">Portrait social de territoire — Vitrolles — document de travail — </w:t>
    </w:r>
    <w:r>
      <w:rPr>
        <w:rFonts w:ascii="Calibri" w:cs="Calibri" w:eastAsia="Calibri" w:hAnsi="Calibri"/>
        <w:color w:val="637381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Portrait social — Vitrolles</dc:title>
  <dc:creator>Portrait social de territoire — CMI</dc:creator>
  <cp:lastModifiedBy>Un-named</cp:lastModifiedBy>
  <cp:revision>1</cp:revision>
  <dcterms:created xsi:type="dcterms:W3CDTF">2026-11-03T13:01:55.046Z</dcterms:created>
  <dcterms:modified xsi:type="dcterms:W3CDTF">2026-11-03T13:01:55.046Z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